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BBA3">
      <w:pPr>
        <w:spacing w:before="154" w:line="217" w:lineRule="auto"/>
        <w:ind w:left="2897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8"/>
          <w:sz w:val="31"/>
          <w:szCs w:val="31"/>
        </w:rPr>
        <w:t>水利实验中心简介</w:t>
      </w:r>
    </w:p>
    <w:p w14:paraId="69A0BB87">
      <w:pPr>
        <w:pStyle w:val="2"/>
        <w:spacing w:before="248" w:line="338" w:lineRule="auto"/>
        <w:ind w:left="22" w:firstLine="494"/>
        <w:jc w:val="both"/>
      </w:pPr>
      <w:r>
        <w:rPr>
          <w:spacing w:val="-4"/>
        </w:rPr>
        <w:t>南昌大学水利实验中心为江西省高等学校实验教学示范中心。实验中心包括</w:t>
      </w:r>
      <w:r>
        <w:rPr>
          <w:spacing w:val="-8"/>
        </w:rPr>
        <w:t>水力学实验室、水工结构实验室、尾矿库实验室、渗流实验室、水工模型实验室、</w:t>
      </w:r>
      <w:r>
        <w:rPr>
          <w:spacing w:val="-5"/>
        </w:rPr>
        <w:t>工程测量实验室（见图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1~</w:t>
      </w:r>
      <w:r>
        <w:rPr>
          <w:spacing w:val="-5"/>
        </w:rPr>
        <w:t>图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</w:t>
      </w:r>
      <w:r>
        <w:rPr>
          <w:spacing w:val="-5"/>
        </w:rPr>
        <w:t>）。实验中心现</w:t>
      </w:r>
      <w:r>
        <w:rPr>
          <w:spacing w:val="-6"/>
        </w:rPr>
        <w:t>有专任教师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35 </w:t>
      </w:r>
      <w:r>
        <w:rPr>
          <w:spacing w:val="-6"/>
        </w:rPr>
        <w:t>人，其中副高级职</w:t>
      </w:r>
      <w:r>
        <w:rPr>
          <w:spacing w:val="-1"/>
        </w:rPr>
        <w:t>称以上教师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21 </w:t>
      </w:r>
      <w:r>
        <w:rPr>
          <w:spacing w:val="-1"/>
        </w:rPr>
        <w:t>人（占比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60.%</w:t>
      </w:r>
      <w:r>
        <w:rPr>
          <w:spacing w:val="-52"/>
        </w:rPr>
        <w:t>），</w:t>
      </w:r>
      <w:r>
        <w:rPr>
          <w:spacing w:val="-1"/>
        </w:rPr>
        <w:t>专任教师中拥</w:t>
      </w:r>
      <w:r>
        <w:rPr>
          <w:spacing w:val="-2"/>
        </w:rPr>
        <w:t>有博士学位的教师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32 </w:t>
      </w:r>
      <w:r>
        <w:rPr>
          <w:spacing w:val="-2"/>
        </w:rPr>
        <w:t>人（占比</w:t>
      </w:r>
      <w:r>
        <w:rPr>
          <w:rFonts w:ascii="Times New Roman" w:hAnsi="Times New Roman" w:eastAsia="Times New Roman" w:cs="Times New Roman"/>
          <w:spacing w:val="-2"/>
        </w:rPr>
        <w:t>91.4%</w:t>
      </w:r>
      <w:r>
        <w:rPr>
          <w:spacing w:val="-62"/>
        </w:rPr>
        <w:t>），</w:t>
      </w:r>
      <w:r>
        <w:rPr>
          <w:spacing w:val="-2"/>
        </w:rPr>
        <w:t>博士生导师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8 </w:t>
      </w:r>
      <w:r>
        <w:rPr>
          <w:spacing w:val="-2"/>
        </w:rPr>
        <w:t>人，硕士生导师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23 </w:t>
      </w:r>
      <w:r>
        <w:rPr>
          <w:spacing w:val="-2"/>
        </w:rPr>
        <w:t>人；企业行业兼职教师</w:t>
      </w:r>
      <w:r>
        <w:rPr>
          <w:rFonts w:ascii="Times New Roman" w:hAnsi="Times New Roman" w:eastAsia="Times New Roman" w:cs="Times New Roman"/>
          <w:spacing w:val="-2"/>
        </w:rPr>
        <w:t xml:space="preserve">22 </w:t>
      </w:r>
      <w:r>
        <w:rPr>
          <w:spacing w:val="-2"/>
        </w:rPr>
        <w:t>人。专职教师中拥有省部级以上各类人才计划共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39 </w:t>
      </w:r>
      <w:r>
        <w:rPr>
          <w:spacing w:val="-2"/>
        </w:rPr>
        <w:t>人次，其中包括国家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973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2"/>
        </w:rPr>
        <w:t>首席科</w:t>
      </w:r>
      <w:r>
        <w:rPr>
          <w:spacing w:val="-3"/>
        </w:rPr>
        <w:t>学家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4"/>
        </w:rPr>
        <w:t>人，国家杰出青年基金获得者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人，全国水利高等院校水利类专业带头人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人，</w:t>
      </w:r>
      <w:r>
        <w:rPr>
          <w:spacing w:val="-2"/>
        </w:rPr>
        <w:t>江西省井冈学者特聘教授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 </w:t>
      </w:r>
      <w:r>
        <w:rPr>
          <w:spacing w:val="-2"/>
        </w:rPr>
        <w:t>人。近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5 </w:t>
      </w:r>
      <w:r>
        <w:rPr>
          <w:spacing w:val="-2"/>
        </w:rPr>
        <w:t>年专任教师承担国家级纵向课题及各类工程</w:t>
      </w:r>
      <w:r>
        <w:rPr>
          <w:spacing w:val="-3"/>
        </w:rPr>
        <w:t>项目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500 </w:t>
      </w:r>
      <w:r>
        <w:rPr>
          <w:spacing w:val="-3"/>
        </w:rPr>
        <w:t>余项（含国家重点基金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 </w:t>
      </w:r>
      <w:r>
        <w:rPr>
          <w:spacing w:val="-3"/>
        </w:rPr>
        <w:t>项</w:t>
      </w:r>
      <w:r>
        <w:rPr>
          <w:spacing w:val="-53"/>
        </w:rPr>
        <w:t>），</w:t>
      </w:r>
      <w:r>
        <w:rPr>
          <w:spacing w:val="-3"/>
        </w:rPr>
        <w:t>科研经费约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1.19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3"/>
        </w:rPr>
        <w:t>亿元，发表学术论文</w:t>
      </w:r>
      <w:r>
        <w:rPr>
          <w:rFonts w:ascii="Times New Roman" w:hAnsi="Times New Roman" w:eastAsia="Times New Roman" w:cs="Times New Roman"/>
          <w:spacing w:val="1"/>
        </w:rPr>
        <w:t>400</w:t>
      </w:r>
      <w:bookmarkStart w:id="0" w:name="_GoBack"/>
      <w:bookmarkEnd w:id="0"/>
      <w:r>
        <w:rPr>
          <w:spacing w:val="1"/>
        </w:rPr>
        <w:t>余篇，获得包括江西省科技进步一等奖等省部级科研奖励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项；主持省级教</w:t>
      </w:r>
      <w:r>
        <w:rPr>
          <w:spacing w:val="-2"/>
        </w:rPr>
        <w:t>改课题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项，获省部级以上教学成果奖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4 </w:t>
      </w:r>
      <w:r>
        <w:rPr>
          <w:spacing w:val="-2"/>
        </w:rPr>
        <w:t>项，指导学生获省部级以上奖项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spacing w:val="-3"/>
        </w:rPr>
        <w:t>余人次。实验中心的核心专业水利水电工程还获得了国家工程教育认证，国家一</w:t>
      </w:r>
      <w:r>
        <w:rPr>
          <w:spacing w:val="-1"/>
        </w:rPr>
        <w:t>流专业以及博士学位授权点。</w:t>
      </w:r>
    </w:p>
    <w:p w14:paraId="79F16160">
      <w:pPr>
        <w:pStyle w:val="2"/>
        <w:spacing w:before="160" w:line="338" w:lineRule="auto"/>
        <w:ind w:left="22" w:right="30" w:firstLine="493"/>
        <w:jc w:val="both"/>
      </w:pPr>
      <w:r>
        <w:rPr>
          <w:spacing w:val="1"/>
        </w:rPr>
        <w:t>实验中心以南昌大学</w:t>
      </w:r>
      <w:r>
        <w:rPr>
          <w:rFonts w:ascii="Times New Roman" w:hAnsi="Times New Roman" w:eastAsia="Times New Roman" w:cs="Times New Roman"/>
          <w:spacing w:val="1"/>
        </w:rPr>
        <w:t>“211</w:t>
      </w:r>
      <w:r>
        <w:rPr>
          <w:spacing w:val="1"/>
        </w:rPr>
        <w:t>工程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建设和新校区建设为契机，</w:t>
      </w:r>
      <w:r>
        <w:t>购入了一批国内</w:t>
      </w:r>
      <w:r>
        <w:rPr>
          <w:spacing w:val="-3"/>
        </w:rPr>
        <w:t>外先进的仪器设备，加强了技术平台的建设，强化了专业基础实验，致力于开放性实验和综合性实验的建设，力图使本科实验教学达到国内先进水平，为提高本</w:t>
      </w:r>
      <w:r>
        <w:t>科生的动手能力和创新能力提供良好的条件，培养出符</w:t>
      </w:r>
      <w:r>
        <w:rPr>
          <w:spacing w:val="-1"/>
        </w:rPr>
        <w:t>合时代要求的高水平人</w:t>
      </w:r>
      <w:r>
        <w:rPr>
          <w:spacing w:val="-2"/>
        </w:rPr>
        <w:t>才，成为既能服务于学校本科教学，又能进行高水平科技创新研究的实验基地。</w:t>
      </w:r>
    </w:p>
    <w:p w14:paraId="1E2ED2BB">
      <w:pPr>
        <w:pStyle w:val="2"/>
        <w:spacing w:before="122" w:line="338" w:lineRule="auto"/>
        <w:ind w:left="18" w:firstLine="527"/>
        <w:jc w:val="both"/>
      </w:pPr>
      <w:r>
        <w:rPr>
          <w:spacing w:val="-5"/>
        </w:rPr>
        <w:t>目前水利实验中心位于南昌大学建工楼西北侧，为独立的水利实验楼，加上</w:t>
      </w:r>
      <w:r>
        <w:t>建工楼</w:t>
      </w:r>
      <w:r>
        <w:rPr>
          <w:rFonts w:ascii="Times New Roman" w:hAnsi="Times New Roman" w:eastAsia="Times New Roman" w:cs="Times New Roman"/>
        </w:rPr>
        <w:t>B</w:t>
      </w:r>
      <w:r>
        <w:t>区测量实验室部分，面积达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2706 </w:t>
      </w:r>
      <w:r>
        <w:t>平方米（中</w:t>
      </w:r>
      <w:r>
        <w:rPr>
          <w:spacing w:val="-1"/>
        </w:rPr>
        <w:t>心东侧场馆正在进行加层改造，预计增加实验面积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1600 </w:t>
      </w:r>
      <w:r>
        <w:rPr>
          <w:spacing w:val="-1"/>
        </w:rPr>
        <w:t>平米</w:t>
      </w:r>
      <w:r>
        <w:rPr>
          <w:spacing w:val="-69"/>
        </w:rPr>
        <w:t>），</w:t>
      </w:r>
      <w:r>
        <w:rPr>
          <w:spacing w:val="-1"/>
        </w:rPr>
        <w:t>拥有实验室</w:t>
      </w:r>
      <w:r>
        <w:rPr>
          <w:spacing w:val="-2"/>
        </w:rPr>
        <w:t>专职管理人员</w:t>
      </w:r>
      <w:r>
        <w:rPr>
          <w:rFonts w:ascii="Times New Roman" w:hAnsi="Times New Roman" w:eastAsia="Times New Roman" w:cs="Times New Roman"/>
          <w:spacing w:val="-2"/>
        </w:rPr>
        <w:t xml:space="preserve">4 </w:t>
      </w:r>
      <w:r>
        <w:rPr>
          <w:spacing w:val="-2"/>
        </w:rPr>
        <w:t>人。仪器设备价值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1630.9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2"/>
        </w:rPr>
        <w:t>万元。中心建设水平起点较高，设备齐全，其中包括大型水利枢纽</w:t>
      </w:r>
      <w:r>
        <w:rPr>
          <w:spacing w:val="-3"/>
        </w:rPr>
        <w:t>模型、声学多普勒流速流量测量系统、水槽水流实验控制系统、全站仪、</w:t>
      </w:r>
      <w:r>
        <w:rPr>
          <w:rFonts w:ascii="Times New Roman" w:hAnsi="Times New Roman" w:eastAsia="Times New Roman" w:cs="Times New Roman"/>
          <w:spacing w:val="-3"/>
        </w:rPr>
        <w:t>RTK</w:t>
      </w:r>
      <w:r>
        <w:rPr>
          <w:spacing w:val="-3"/>
        </w:rPr>
        <w:t>等</w:t>
      </w:r>
      <w:r>
        <w:rPr>
          <w:spacing w:val="-7"/>
        </w:rPr>
        <w:t>重要的本科教学仪器设备，还包括岩体多场</w:t>
      </w:r>
      <w:r>
        <w:rPr>
          <w:spacing w:val="-8"/>
        </w:rPr>
        <w:t>耦合实验仪、堤坝防渗墙质量检测仪、</w:t>
      </w:r>
      <w:r>
        <w:rPr>
          <w:spacing w:val="-3"/>
        </w:rPr>
        <w:t>岩石多场耦合实验仪、无人机激光雷达系统、探地雷达等先进的科研设备。中心承担了工程建设学院（包括环境科学与工程学院的过控专业）共计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8 </w:t>
      </w:r>
      <w:r>
        <w:rPr>
          <w:spacing w:val="-4"/>
        </w:rPr>
        <w:t>个专业的本</w:t>
      </w:r>
      <w:r>
        <w:rPr>
          <w:spacing w:val="-3"/>
        </w:rPr>
        <w:t>科专业实验教学任务，并为本专业学生作毕业论文、毕业设计、全国水利创新大赛等提供实验场地。同时，还为水利水电工程硕士、博士点的研究生培养提供实</w:t>
      </w:r>
      <w:r>
        <w:rPr>
          <w:spacing w:val="-1"/>
        </w:rPr>
        <w:t>验及实验教学基地。</w:t>
      </w:r>
    </w:p>
    <w:p w14:paraId="532E819F">
      <w:pPr>
        <w:spacing w:line="338" w:lineRule="auto"/>
        <w:sectPr>
          <w:pgSz w:w="11906" w:h="16839"/>
          <w:pgMar w:top="1431" w:right="1728" w:bottom="0" w:left="1785" w:header="0" w:footer="0" w:gutter="0"/>
          <w:cols w:space="720" w:num="1"/>
        </w:sectPr>
      </w:pPr>
    </w:p>
    <w:p w14:paraId="7162EBF7">
      <w:pPr>
        <w:spacing w:line="80" w:lineRule="exact"/>
      </w:pPr>
    </w:p>
    <w:p w14:paraId="60BE9F71">
      <w:pPr>
        <w:spacing w:line="80" w:lineRule="exact"/>
        <w:sectPr>
          <w:pgSz w:w="11906" w:h="16839"/>
          <w:pgMar w:top="1431" w:right="1785" w:bottom="0" w:left="1785" w:header="0" w:footer="0" w:gutter="0"/>
          <w:cols w:equalWidth="0" w:num="1">
            <w:col w:w="8335"/>
          </w:cols>
        </w:sectPr>
      </w:pPr>
    </w:p>
    <w:p w14:paraId="46D1167E">
      <w:pPr>
        <w:spacing w:line="2975" w:lineRule="exact"/>
        <w:ind w:firstLine="57"/>
      </w:pPr>
      <w:r>
        <w:rPr>
          <w:position w:val="-59"/>
        </w:rPr>
        <w:drawing>
          <wp:inline distT="0" distB="0" distL="0" distR="0">
            <wp:extent cx="2519045" cy="18891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9171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A689D">
      <w:pPr>
        <w:spacing w:before="123" w:line="234" w:lineRule="auto"/>
        <w:ind w:left="997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3"/>
          <w:sz w:val="20"/>
          <w:szCs w:val="20"/>
        </w:rPr>
        <w:t>图</w:t>
      </w:r>
      <w:r>
        <w:rPr>
          <w:rFonts w:ascii="楷体" w:hAnsi="楷体" w:eastAsia="楷体" w:cs="楷体"/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1  </w:t>
      </w:r>
      <w:r>
        <w:rPr>
          <w:rFonts w:ascii="楷体" w:hAnsi="楷体" w:eastAsia="楷体" w:cs="楷体"/>
          <w:spacing w:val="3"/>
          <w:sz w:val="20"/>
          <w:szCs w:val="20"/>
        </w:rPr>
        <w:t>水利实验中心外墙</w:t>
      </w:r>
    </w:p>
    <w:p w14:paraId="3897D1CB">
      <w:pPr>
        <w:spacing w:before="79" w:line="2976" w:lineRule="exact"/>
        <w:ind w:firstLine="57"/>
      </w:pPr>
      <w:r>
        <w:rPr>
          <w:position w:val="-59"/>
        </w:rPr>
        <w:drawing>
          <wp:inline distT="0" distB="0" distL="0" distR="0">
            <wp:extent cx="2520315" cy="18891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7DA76">
      <w:pPr>
        <w:spacing w:before="123" w:line="234" w:lineRule="auto"/>
        <w:ind w:left="892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4"/>
          <w:sz w:val="20"/>
          <w:szCs w:val="20"/>
        </w:rPr>
        <w:t>图</w:t>
      </w:r>
      <w:r>
        <w:rPr>
          <w:rFonts w:ascii="楷体" w:hAnsi="楷体" w:eastAsia="楷体" w:cs="楷体"/>
          <w:spacing w:val="-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3  </w:t>
      </w:r>
      <w:r>
        <w:rPr>
          <w:rFonts w:ascii="楷体" w:hAnsi="楷体" w:eastAsia="楷体" w:cs="楷体"/>
          <w:spacing w:val="4"/>
          <w:sz w:val="20"/>
          <w:szCs w:val="20"/>
        </w:rPr>
        <w:t>水利实验中心楼梯</w:t>
      </w:r>
      <w:r>
        <w:rPr>
          <w:rFonts w:ascii="楷体" w:hAnsi="楷体" w:eastAsia="楷体" w:cs="楷体"/>
          <w:spacing w:val="-60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4"/>
          <w:sz w:val="20"/>
          <w:szCs w:val="20"/>
        </w:rPr>
        <w:t>口</w:t>
      </w:r>
    </w:p>
    <w:p w14:paraId="5ABD8728">
      <w:pPr>
        <w:spacing w:before="79" w:line="2976" w:lineRule="exact"/>
        <w:ind w:firstLine="57"/>
      </w:pPr>
      <w:r>
        <w:rPr>
          <w:position w:val="-59"/>
        </w:rPr>
        <w:drawing>
          <wp:inline distT="0" distB="0" distL="0" distR="0">
            <wp:extent cx="2519045" cy="18891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9171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610C2">
      <w:pPr>
        <w:spacing w:before="124" w:line="232" w:lineRule="auto"/>
        <w:ind w:left="786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5"/>
          <w:sz w:val="20"/>
          <w:szCs w:val="20"/>
        </w:rPr>
        <w:t>图</w:t>
      </w:r>
      <w:r>
        <w:rPr>
          <w:rFonts w:ascii="楷体" w:hAnsi="楷体" w:eastAsia="楷体" w:cs="楷体"/>
          <w:spacing w:val="-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5  </w:t>
      </w:r>
      <w:r>
        <w:rPr>
          <w:rFonts w:ascii="楷体" w:hAnsi="楷体" w:eastAsia="楷体" w:cs="楷体"/>
          <w:spacing w:val="5"/>
          <w:sz w:val="20"/>
          <w:szCs w:val="20"/>
        </w:rPr>
        <w:t>水利实验中心一楼展板</w:t>
      </w:r>
    </w:p>
    <w:p w14:paraId="1A7366C5">
      <w:pPr>
        <w:spacing w:before="81" w:line="2974" w:lineRule="exact"/>
        <w:ind w:firstLine="57"/>
      </w:pPr>
      <w:r>
        <w:rPr>
          <w:position w:val="-59"/>
        </w:rPr>
        <w:drawing>
          <wp:inline distT="0" distB="0" distL="0" distR="0">
            <wp:extent cx="2520315" cy="188785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0920">
      <w:pPr>
        <w:spacing w:before="126" w:line="201" w:lineRule="auto"/>
        <w:ind w:left="997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2"/>
          <w:sz w:val="20"/>
          <w:szCs w:val="20"/>
        </w:rPr>
        <w:t>图</w:t>
      </w:r>
      <w:r>
        <w:rPr>
          <w:rFonts w:ascii="楷体" w:hAnsi="楷体" w:eastAsia="楷体" w:cs="楷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7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 </w:t>
      </w:r>
      <w:r>
        <w:rPr>
          <w:rFonts w:ascii="楷体" w:hAnsi="楷体" w:eastAsia="楷体" w:cs="楷体"/>
          <w:spacing w:val="2"/>
          <w:sz w:val="20"/>
          <w:szCs w:val="20"/>
        </w:rPr>
        <w:t>常规水力学实验室</w:t>
      </w:r>
    </w:p>
    <w:p w14:paraId="0DE8B67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5BD566B">
      <w:pPr>
        <w:spacing w:line="2974" w:lineRule="exact"/>
      </w:pPr>
      <w:r>
        <w:rPr>
          <w:position w:val="-59"/>
        </w:rPr>
        <w:drawing>
          <wp:inline distT="0" distB="0" distL="0" distR="0">
            <wp:extent cx="2520315" cy="188849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188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939DF">
      <w:pPr>
        <w:spacing w:before="123" w:line="234" w:lineRule="auto"/>
        <w:ind w:left="940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4"/>
          <w:sz w:val="20"/>
          <w:szCs w:val="20"/>
        </w:rPr>
        <w:t>图</w:t>
      </w:r>
      <w:r>
        <w:rPr>
          <w:rFonts w:ascii="楷体" w:hAnsi="楷体" w:eastAsia="楷体" w:cs="楷体"/>
          <w:spacing w:val="-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2  </w:t>
      </w:r>
      <w:r>
        <w:rPr>
          <w:rFonts w:ascii="楷体" w:hAnsi="楷体" w:eastAsia="楷体" w:cs="楷体"/>
          <w:spacing w:val="4"/>
          <w:sz w:val="20"/>
          <w:szCs w:val="20"/>
        </w:rPr>
        <w:t>水利实验中心大门</w:t>
      </w:r>
    </w:p>
    <w:p w14:paraId="68408CDE">
      <w:pPr>
        <w:spacing w:before="78" w:line="2976" w:lineRule="exact"/>
      </w:pPr>
      <w:r>
        <w:rPr>
          <w:position w:val="-59"/>
        </w:rPr>
        <w:drawing>
          <wp:inline distT="0" distB="0" distL="0" distR="0">
            <wp:extent cx="2520315" cy="18891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B591">
      <w:pPr>
        <w:spacing w:before="124" w:line="234" w:lineRule="auto"/>
        <w:ind w:left="837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5"/>
          <w:sz w:val="20"/>
          <w:szCs w:val="20"/>
        </w:rPr>
        <w:t>图</w:t>
      </w:r>
      <w:r>
        <w:rPr>
          <w:rFonts w:ascii="楷体" w:hAnsi="楷体" w:eastAsia="楷体" w:cs="楷体"/>
          <w:spacing w:val="-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4  </w:t>
      </w:r>
      <w:r>
        <w:rPr>
          <w:rFonts w:ascii="楷体" w:hAnsi="楷体" w:eastAsia="楷体" w:cs="楷体"/>
          <w:spacing w:val="5"/>
          <w:sz w:val="20"/>
          <w:szCs w:val="20"/>
        </w:rPr>
        <w:t>水利实验中心公告栏</w:t>
      </w:r>
    </w:p>
    <w:p w14:paraId="17B5287A">
      <w:pPr>
        <w:spacing w:before="79" w:line="2973" w:lineRule="exact"/>
      </w:pPr>
      <w:r>
        <w:rPr>
          <w:position w:val="-59"/>
        </w:rPr>
        <w:drawing>
          <wp:inline distT="0" distB="0" distL="0" distR="0">
            <wp:extent cx="2520315" cy="18878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18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3EAD8">
      <w:pPr>
        <w:spacing w:before="127" w:line="229" w:lineRule="auto"/>
        <w:ind w:left="837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4"/>
          <w:sz w:val="20"/>
          <w:szCs w:val="20"/>
        </w:rPr>
        <w:t>图</w:t>
      </w:r>
      <w:r>
        <w:rPr>
          <w:rFonts w:ascii="楷体" w:hAnsi="楷体" w:eastAsia="楷体" w:cs="楷体"/>
          <w:spacing w:val="-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6  </w:t>
      </w:r>
      <w:r>
        <w:rPr>
          <w:rFonts w:ascii="楷体" w:hAnsi="楷体" w:eastAsia="楷体" w:cs="楷体"/>
          <w:spacing w:val="4"/>
          <w:sz w:val="20"/>
          <w:szCs w:val="20"/>
        </w:rPr>
        <w:t>尾矿库工程实验场地</w:t>
      </w:r>
    </w:p>
    <w:p w14:paraId="0D1A033E">
      <w:pPr>
        <w:spacing w:before="84" w:line="2973" w:lineRule="exact"/>
      </w:pPr>
      <w:r>
        <w:rPr>
          <w:position w:val="-59"/>
        </w:rPr>
        <w:drawing>
          <wp:inline distT="0" distB="0" distL="0" distR="0">
            <wp:extent cx="2520315" cy="188785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A726">
      <w:pPr>
        <w:spacing w:before="127" w:line="201" w:lineRule="auto"/>
        <w:ind w:left="940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4"/>
          <w:sz w:val="20"/>
          <w:szCs w:val="20"/>
        </w:rPr>
        <w:t>图</w:t>
      </w:r>
      <w:r>
        <w:rPr>
          <w:rFonts w:ascii="楷体" w:hAnsi="楷体" w:eastAsia="楷体" w:cs="楷体"/>
          <w:spacing w:val="-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8  </w:t>
      </w:r>
      <w:r>
        <w:rPr>
          <w:rFonts w:ascii="楷体" w:hAnsi="楷体" w:eastAsia="楷体" w:cs="楷体"/>
          <w:spacing w:val="4"/>
          <w:sz w:val="20"/>
          <w:szCs w:val="20"/>
        </w:rPr>
        <w:t>水工水力学实验室</w:t>
      </w:r>
    </w:p>
    <w:p w14:paraId="7BB62481">
      <w:pPr>
        <w:spacing w:line="201" w:lineRule="auto"/>
        <w:rPr>
          <w:rFonts w:ascii="楷体" w:hAnsi="楷体" w:eastAsia="楷体" w:cs="楷体"/>
          <w:sz w:val="20"/>
          <w:szCs w:val="20"/>
        </w:rPr>
        <w:sectPr>
          <w:type w:val="continuous"/>
          <w:pgSz w:w="11906" w:h="16839"/>
          <w:pgMar w:top="1431" w:right="1785" w:bottom="0" w:left="1785" w:header="0" w:footer="0" w:gutter="0"/>
          <w:cols w:equalWidth="0" w:num="2">
            <w:col w:w="4208" w:space="100"/>
            <w:col w:w="4027"/>
          </w:cols>
        </w:sectPr>
      </w:pPr>
    </w:p>
    <w:p w14:paraId="7E86DE9D">
      <w:pPr>
        <w:spacing w:before="151"/>
      </w:pPr>
    </w:p>
    <w:p w14:paraId="214C104B">
      <w:pPr>
        <w:sectPr>
          <w:pgSz w:w="11906" w:h="16839"/>
          <w:pgMar w:top="1431" w:right="1785" w:bottom="0" w:left="1785" w:header="0" w:footer="0" w:gutter="0"/>
          <w:cols w:equalWidth="0" w:num="1">
            <w:col w:w="8335"/>
          </w:cols>
        </w:sectPr>
      </w:pPr>
    </w:p>
    <w:p w14:paraId="6DD5E28E">
      <w:pPr>
        <w:spacing w:line="2975" w:lineRule="exact"/>
        <w:ind w:firstLine="57"/>
      </w:pPr>
      <w:r>
        <w:rPr>
          <w:position w:val="-59"/>
        </w:rPr>
        <w:drawing>
          <wp:inline distT="0" distB="0" distL="0" distR="0">
            <wp:extent cx="2519045" cy="18891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9171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ED3B1">
      <w:pPr>
        <w:spacing w:before="123" w:line="237" w:lineRule="auto"/>
        <w:ind w:left="1206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3"/>
          <w:sz w:val="20"/>
          <w:szCs w:val="20"/>
        </w:rPr>
        <w:t>图</w:t>
      </w:r>
      <w:r>
        <w:rPr>
          <w:rFonts w:ascii="楷体" w:hAnsi="楷体" w:eastAsia="楷体" w:cs="楷体"/>
          <w:spacing w:val="-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9  </w:t>
      </w:r>
      <w:r>
        <w:rPr>
          <w:rFonts w:ascii="楷体" w:hAnsi="楷体" w:eastAsia="楷体" w:cs="楷体"/>
          <w:spacing w:val="3"/>
          <w:sz w:val="20"/>
          <w:szCs w:val="20"/>
        </w:rPr>
        <w:t>拱坝枢纽模型</w:t>
      </w:r>
    </w:p>
    <w:p w14:paraId="6ED87A94">
      <w:pPr>
        <w:spacing w:line="249" w:lineRule="auto"/>
        <w:rPr>
          <w:rFonts w:ascii="Arial"/>
          <w:sz w:val="21"/>
        </w:rPr>
      </w:pPr>
    </w:p>
    <w:p w14:paraId="05D6A61A">
      <w:pPr>
        <w:spacing w:line="250" w:lineRule="auto"/>
        <w:rPr>
          <w:rFonts w:ascii="Arial"/>
          <w:sz w:val="21"/>
        </w:rPr>
      </w:pPr>
    </w:p>
    <w:p w14:paraId="4CFE5686">
      <w:pPr>
        <w:spacing w:line="2976" w:lineRule="exact"/>
        <w:ind w:firstLine="57"/>
      </w:pPr>
      <w:r>
        <w:rPr>
          <w:position w:val="-59"/>
        </w:rPr>
        <w:drawing>
          <wp:inline distT="0" distB="0" distL="0" distR="0">
            <wp:extent cx="2519045" cy="188976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9171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02A7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7DEF976">
      <w:pPr>
        <w:spacing w:line="2974" w:lineRule="exact"/>
      </w:pPr>
      <w:r>
        <w:rPr>
          <w:position w:val="-59"/>
        </w:rPr>
        <w:drawing>
          <wp:inline distT="0" distB="0" distL="0" distR="0">
            <wp:extent cx="2519045" cy="188849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19171" cy="188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F4BF8">
      <w:pPr>
        <w:spacing w:before="123" w:line="237" w:lineRule="auto"/>
        <w:ind w:left="676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2"/>
          <w:sz w:val="20"/>
          <w:szCs w:val="20"/>
        </w:rPr>
        <w:t>图</w:t>
      </w:r>
      <w:r>
        <w:rPr>
          <w:rFonts w:ascii="楷体" w:hAnsi="楷体" w:eastAsia="楷体" w:cs="楷体"/>
          <w:spacing w:val="-1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pacing w:val="16"/>
          <w:w w:val="101"/>
          <w:sz w:val="20"/>
          <w:szCs w:val="20"/>
        </w:rPr>
        <w:t xml:space="preserve">  </w:t>
      </w:r>
      <w:r>
        <w:rPr>
          <w:rFonts w:ascii="楷体" w:hAnsi="楷体" w:eastAsia="楷体" w:cs="楷体"/>
          <w:spacing w:val="2"/>
          <w:sz w:val="20"/>
          <w:szCs w:val="20"/>
        </w:rPr>
        <w:t>阻抗式和差动式调压室</w:t>
      </w:r>
    </w:p>
    <w:p w14:paraId="5B9808D0">
      <w:pPr>
        <w:spacing w:line="249" w:lineRule="auto"/>
        <w:rPr>
          <w:rFonts w:ascii="Arial"/>
          <w:sz w:val="21"/>
        </w:rPr>
      </w:pPr>
    </w:p>
    <w:p w14:paraId="79457B4C">
      <w:pPr>
        <w:spacing w:line="250" w:lineRule="auto"/>
        <w:rPr>
          <w:rFonts w:ascii="Arial"/>
          <w:sz w:val="21"/>
        </w:rPr>
      </w:pPr>
    </w:p>
    <w:p w14:paraId="220400EF">
      <w:pPr>
        <w:spacing w:line="2976" w:lineRule="exact"/>
      </w:pPr>
      <w:r>
        <w:rPr>
          <w:position w:val="-59"/>
        </w:rPr>
        <w:drawing>
          <wp:inline distT="0" distB="0" distL="0" distR="0">
            <wp:extent cx="2519045" cy="188976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19171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1A09D">
      <w:pPr>
        <w:spacing w:line="2976" w:lineRule="exact"/>
        <w:sectPr>
          <w:type w:val="continuous"/>
          <w:pgSz w:w="11906" w:h="16839"/>
          <w:pgMar w:top="1431" w:right="1785" w:bottom="0" w:left="1785" w:header="0" w:footer="0" w:gutter="0"/>
          <w:cols w:equalWidth="0" w:num="2">
            <w:col w:w="4211" w:space="100"/>
            <w:col w:w="4025"/>
          </w:cols>
        </w:sectPr>
      </w:pPr>
    </w:p>
    <w:p w14:paraId="71612B2E">
      <w:pPr>
        <w:spacing w:before="179" w:line="234" w:lineRule="auto"/>
        <w:ind w:left="2970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3"/>
          <w:sz w:val="20"/>
          <w:szCs w:val="20"/>
        </w:rPr>
        <w:t>图</w:t>
      </w:r>
      <w:r>
        <w:rPr>
          <w:rFonts w:ascii="楷体" w:hAnsi="楷体" w:eastAsia="楷体" w:cs="楷体"/>
          <w:spacing w:val="-1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11  </w:t>
      </w:r>
      <w:r>
        <w:rPr>
          <w:rFonts w:ascii="楷体" w:hAnsi="楷体" w:eastAsia="楷体" w:cs="楷体"/>
          <w:spacing w:val="3"/>
          <w:sz w:val="20"/>
          <w:szCs w:val="20"/>
        </w:rPr>
        <w:t>水利实验中心会议室</w:t>
      </w:r>
    </w:p>
    <w:p w14:paraId="26F504FB">
      <w:pPr>
        <w:spacing w:before="136" w:line="2976" w:lineRule="exact"/>
        <w:ind w:firstLine="57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86360</wp:posOffset>
            </wp:positionV>
            <wp:extent cx="2519045" cy="188976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9171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drawing>
          <wp:inline distT="0" distB="0" distL="0" distR="0">
            <wp:extent cx="2519045" cy="188912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19171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2CE95">
      <w:pPr>
        <w:spacing w:before="182" w:line="201" w:lineRule="auto"/>
        <w:ind w:left="2757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4"/>
          <w:sz w:val="20"/>
          <w:szCs w:val="20"/>
        </w:rPr>
        <w:t>图</w:t>
      </w:r>
      <w:r>
        <w:rPr>
          <w:rFonts w:ascii="楷体" w:hAnsi="楷体" w:eastAsia="楷体" w:cs="楷体"/>
          <w:spacing w:val="-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12  </w:t>
      </w:r>
      <w:r>
        <w:rPr>
          <w:rFonts w:ascii="楷体" w:hAnsi="楷体" w:eastAsia="楷体" w:cs="楷体"/>
          <w:spacing w:val="4"/>
          <w:sz w:val="20"/>
          <w:szCs w:val="20"/>
        </w:rPr>
        <w:t>水利实验中心多媒体教室</w:t>
      </w:r>
    </w:p>
    <w:sectPr>
      <w:type w:val="continuous"/>
      <w:pgSz w:w="11906" w:h="16839"/>
      <w:pgMar w:top="1431" w:right="1785" w:bottom="0" w:left="1785" w:header="0" w:footer="0" w:gutter="0"/>
      <w:cols w:equalWidth="0" w:num="1">
        <w:col w:w="83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BB5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1077</Words>
  <Characters>1123</Characters>
  <TotalTime>3</TotalTime>
  <ScaleCrop>false</ScaleCrop>
  <LinksUpToDate>false</LinksUpToDate>
  <CharactersWithSpaces>1238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2025-10-28T15:54:00Z</dcterms:created>
  <dc:creator>admin</dc:creator>
  <cp:lastModifiedBy>ss</cp:lastModifiedBy>
  <dcterms:modified xsi:type="dcterms:W3CDTF">2025-10-28T07:57:41Z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2025-10-28T15:54:22Z</vt:filetime>
  </property>
  <property fmtid="{D5CDD505-2E9C-101B-9397-08002B2CF9AE}" pid="4" name="KSOTemplateDocerSaveRecord">
    <vt:lpwstr>eyJoZGlkIjoiMjhiZTNiNjA5M2UyNjMwYWUzNTQzNDQzMzczODhmZWIiLCJ1c2VySWQiOiI2ODUyMzc3NjgifQ==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4229A53A989A4E8D84E840B4F41106D2_12</vt:lpwstr>
  </property>
</Properties>
</file>