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5E56" w14:textId="1E8C543A" w:rsidR="00A23B53" w:rsidRPr="00A23B53" w:rsidRDefault="00913FA9" w:rsidP="00A23B53">
      <w:pPr>
        <w:spacing w:before="64" w:line="223" w:lineRule="auto"/>
        <w:ind w:left="3698"/>
        <w:outlineLvl w:val="0"/>
        <w:rPr>
          <w:rFonts w:ascii="黑体" w:eastAsia="黑体" w:hAnsi="黑体" w:cs="黑体" w:hint="eastAsia"/>
          <w:b/>
          <w:bCs/>
          <w:spacing w:val="2"/>
          <w:sz w:val="31"/>
          <w:szCs w:val="31"/>
        </w:rPr>
      </w:pPr>
      <w:r w:rsidRPr="00F07E0B">
        <w:rPr>
          <w:rFonts w:ascii="黑体" w:eastAsia="黑体" w:hAnsi="黑体" w:cs="黑体" w:hint="eastAsia"/>
          <w:b/>
          <w:bCs/>
          <w:spacing w:val="2"/>
          <w:sz w:val="31"/>
          <w:szCs w:val="31"/>
        </w:rPr>
        <w:t>傅春</w:t>
      </w:r>
    </w:p>
    <w:p w14:paraId="0903876A" w14:textId="5AB4308C" w:rsidR="006E0C17" w:rsidRPr="006E0C17" w:rsidRDefault="006E0C17" w:rsidP="006E0C17">
      <w:pPr>
        <w:spacing w:before="64" w:line="223" w:lineRule="auto"/>
        <w:ind w:left="3698"/>
        <w:outlineLvl w:val="0"/>
        <w:rPr>
          <w:rFonts w:ascii="黑体" w:eastAsia="黑体" w:hAnsi="黑体" w:cs="黑体" w:hint="eastAsia"/>
          <w:b/>
          <w:bCs/>
          <w:spacing w:val="2"/>
          <w:sz w:val="31"/>
          <w:szCs w:val="31"/>
        </w:rPr>
      </w:pPr>
    </w:p>
    <w:p w14:paraId="04DD2E10" w14:textId="043D4FEF" w:rsidR="00850F1B" w:rsidRPr="00A23B53" w:rsidRDefault="00A23B53" w:rsidP="00850F1B">
      <w:pPr>
        <w:ind w:firstLineChars="200" w:firstLine="420"/>
        <w:rPr>
          <w:rFonts w:ascii="仿宋" w:eastAsia="仿宋" w:hAnsi="仿宋" w:hint="eastAsia"/>
          <w:spacing w:val="-2"/>
          <w:sz w:val="21"/>
          <w:szCs w:val="21"/>
        </w:rPr>
      </w:pPr>
      <w:r w:rsidRPr="00A23B53">
        <w:rPr>
          <w:rFonts w:ascii="仿宋" w:eastAsia="仿宋" w:hAnsi="仿宋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D563A9B" wp14:editId="0AF2F748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657350" cy="1769745"/>
            <wp:effectExtent l="0" t="0" r="0" b="1905"/>
            <wp:wrapSquare wrapText="bothSides"/>
            <wp:docPr id="20580728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r="17152"/>
                    <a:stretch/>
                  </pic:blipFill>
                  <pic:spPr bwMode="auto">
                    <a:xfrm>
                      <a:off x="0" y="0"/>
                      <a:ext cx="165735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FA9" w:rsidRPr="00A23B53">
        <w:rPr>
          <w:rFonts w:ascii="仿宋" w:eastAsia="仿宋" w:hAnsi="仿宋" w:hint="eastAsia"/>
          <w:spacing w:val="-2"/>
          <w:sz w:val="21"/>
          <w:szCs w:val="21"/>
        </w:rPr>
        <w:t>教授、博士生导师</w:t>
      </w:r>
      <w:r w:rsidR="00850F1B" w:rsidRPr="00A23B53">
        <w:rPr>
          <w:rFonts w:ascii="仿宋" w:eastAsia="仿宋" w:hAnsi="仿宋" w:hint="eastAsia"/>
          <w:spacing w:val="-2"/>
          <w:sz w:val="21"/>
          <w:szCs w:val="21"/>
        </w:rPr>
        <w:t>，</w:t>
      </w:r>
      <w:r w:rsidR="00A96CB3">
        <w:rPr>
          <w:rFonts w:ascii="仿宋" w:eastAsia="仿宋" w:hAnsi="仿宋" w:hint="eastAsia"/>
          <w:spacing w:val="-2"/>
          <w:sz w:val="21"/>
          <w:szCs w:val="21"/>
        </w:rPr>
        <w:t>省部级</w:t>
      </w:r>
      <w:r w:rsidR="001E668D" w:rsidRPr="00A23B53">
        <w:rPr>
          <w:rFonts w:ascii="仿宋" w:eastAsia="仿宋" w:hAnsi="仿宋" w:hint="eastAsia"/>
          <w:spacing w:val="-2"/>
          <w:sz w:val="21"/>
          <w:szCs w:val="21"/>
        </w:rPr>
        <w:t>人才</w:t>
      </w:r>
      <w:r w:rsidR="001E668D" w:rsidRPr="00771D21">
        <w:rPr>
          <w:rFonts w:ascii="仿宋" w:eastAsia="仿宋" w:hAnsi="仿宋" w:hint="eastAsia"/>
          <w:color w:val="000000" w:themeColor="text1"/>
          <w:spacing w:val="-2"/>
          <w:sz w:val="21"/>
          <w:szCs w:val="21"/>
        </w:rPr>
        <w:t>、江西省首届二级教授、江西省管理科学与工程重点学科带头人</w:t>
      </w:r>
      <w:r w:rsidR="00B46771" w:rsidRPr="00771D21">
        <w:rPr>
          <w:rFonts w:ascii="仿宋" w:eastAsia="仿宋" w:hAnsi="仿宋" w:hint="eastAsia"/>
          <w:color w:val="000000" w:themeColor="text1"/>
          <w:spacing w:val="-2"/>
          <w:sz w:val="21"/>
          <w:szCs w:val="21"/>
        </w:rPr>
        <w:t>，世界银行、亚洲发展银行水资源和环境咨询专家</w:t>
      </w:r>
      <w:r w:rsidR="001E668D" w:rsidRPr="00771D21">
        <w:rPr>
          <w:rFonts w:ascii="仿宋" w:eastAsia="仿宋" w:hAnsi="仿宋" w:hint="eastAsia"/>
          <w:color w:val="000000" w:themeColor="text1"/>
          <w:spacing w:val="-2"/>
          <w:sz w:val="21"/>
          <w:szCs w:val="21"/>
        </w:rPr>
        <w:t>。</w:t>
      </w:r>
      <w:r w:rsidR="00850F1B" w:rsidRPr="00A23B53">
        <w:rPr>
          <w:rFonts w:ascii="仿宋" w:eastAsia="仿宋" w:hAnsi="仿宋" w:hint="eastAsia"/>
          <w:spacing w:val="-2"/>
          <w:sz w:val="21"/>
          <w:szCs w:val="21"/>
        </w:rPr>
        <w:t>主要从事水文学及水资源</w:t>
      </w:r>
      <w:r w:rsidR="00E57B1B" w:rsidRPr="00A23B53">
        <w:rPr>
          <w:rFonts w:ascii="仿宋" w:eastAsia="仿宋" w:hAnsi="仿宋" w:hint="eastAsia"/>
          <w:spacing w:val="-2"/>
          <w:sz w:val="21"/>
          <w:szCs w:val="21"/>
        </w:rPr>
        <w:t>、流域综合管理</w:t>
      </w:r>
      <w:r w:rsidR="009B0A25" w:rsidRPr="00A23B53">
        <w:rPr>
          <w:rFonts w:ascii="仿宋" w:eastAsia="仿宋" w:hAnsi="仿宋" w:hint="eastAsia"/>
          <w:spacing w:val="-2"/>
          <w:sz w:val="21"/>
          <w:szCs w:val="21"/>
        </w:rPr>
        <w:t>、区域绿色发展</w:t>
      </w:r>
      <w:r w:rsidR="00850F1B" w:rsidRPr="00A23B53">
        <w:rPr>
          <w:rFonts w:ascii="仿宋" w:eastAsia="仿宋" w:hAnsi="仿宋" w:hint="eastAsia"/>
          <w:spacing w:val="-2"/>
          <w:sz w:val="21"/>
          <w:szCs w:val="21"/>
        </w:rPr>
        <w:t>等方面的教学与研究工作，出版专著和教材共 1</w:t>
      </w:r>
      <w:r w:rsidR="001E668D" w:rsidRPr="00A23B53">
        <w:rPr>
          <w:rFonts w:ascii="仿宋" w:eastAsia="仿宋" w:hAnsi="仿宋" w:hint="eastAsia"/>
          <w:spacing w:val="-2"/>
          <w:sz w:val="21"/>
          <w:szCs w:val="21"/>
        </w:rPr>
        <w:t>9</w:t>
      </w:r>
      <w:r w:rsidR="00850F1B" w:rsidRPr="00A23B53">
        <w:rPr>
          <w:rFonts w:ascii="仿宋" w:eastAsia="仿宋" w:hAnsi="仿宋" w:hint="eastAsia"/>
          <w:spacing w:val="-2"/>
          <w:sz w:val="21"/>
          <w:szCs w:val="21"/>
        </w:rPr>
        <w:t xml:space="preserve"> 部，在本领域国内外顶级或重要科技期刊上发表学术论文 1</w:t>
      </w:r>
      <w:r w:rsidR="001E668D" w:rsidRPr="00A23B53">
        <w:rPr>
          <w:rFonts w:ascii="仿宋" w:eastAsia="仿宋" w:hAnsi="仿宋" w:hint="eastAsia"/>
          <w:spacing w:val="-2"/>
          <w:sz w:val="21"/>
          <w:szCs w:val="21"/>
        </w:rPr>
        <w:t>50</w:t>
      </w:r>
      <w:r w:rsidR="00850F1B" w:rsidRPr="00A23B53">
        <w:rPr>
          <w:rFonts w:ascii="仿宋" w:eastAsia="仿宋" w:hAnsi="仿宋" w:hint="eastAsia"/>
          <w:spacing w:val="-2"/>
          <w:sz w:val="21"/>
          <w:szCs w:val="21"/>
        </w:rPr>
        <w:t xml:space="preserve"> 余篇，获</w:t>
      </w:r>
      <w:r w:rsidR="00271DE1" w:rsidRPr="00A23B53">
        <w:rPr>
          <w:rFonts w:ascii="仿宋" w:eastAsia="仿宋" w:hAnsi="仿宋" w:hint="eastAsia"/>
          <w:spacing w:val="-2"/>
          <w:sz w:val="21"/>
          <w:szCs w:val="21"/>
        </w:rPr>
        <w:t>2017年和2018年</w:t>
      </w:r>
      <w:r w:rsidR="00850F1B" w:rsidRPr="00A23B53">
        <w:rPr>
          <w:rFonts w:ascii="仿宋" w:eastAsia="仿宋" w:hAnsi="仿宋" w:hint="eastAsia"/>
          <w:spacing w:val="-2"/>
          <w:sz w:val="21"/>
          <w:szCs w:val="21"/>
        </w:rPr>
        <w:t>华东地区优秀哲学社会科学图书二等奖、江西省第十七届社科优秀成果奖、</w:t>
      </w:r>
      <w:r w:rsidR="004D620D" w:rsidRPr="00A23B53">
        <w:rPr>
          <w:rFonts w:ascii="仿宋" w:eastAsia="仿宋" w:hAnsi="仿宋" w:hint="eastAsia"/>
          <w:spacing w:val="-2"/>
          <w:sz w:val="21"/>
          <w:szCs w:val="21"/>
        </w:rPr>
        <w:t>江西省第十</w:t>
      </w:r>
      <w:r w:rsidR="00B46771" w:rsidRPr="00A23B53">
        <w:rPr>
          <w:rFonts w:ascii="仿宋" w:eastAsia="仿宋" w:hAnsi="仿宋" w:hint="eastAsia"/>
          <w:spacing w:val="-2"/>
          <w:sz w:val="21"/>
          <w:szCs w:val="21"/>
        </w:rPr>
        <w:t>二</w:t>
      </w:r>
      <w:r w:rsidR="004D620D" w:rsidRPr="00A23B53">
        <w:rPr>
          <w:rFonts w:ascii="仿宋" w:eastAsia="仿宋" w:hAnsi="仿宋" w:hint="eastAsia"/>
          <w:spacing w:val="-2"/>
          <w:sz w:val="21"/>
          <w:szCs w:val="21"/>
        </w:rPr>
        <w:t>届社科优秀成果一等奖</w:t>
      </w:r>
      <w:r w:rsidR="00B46771" w:rsidRPr="00A23B53">
        <w:rPr>
          <w:rFonts w:ascii="仿宋" w:eastAsia="仿宋" w:hAnsi="仿宋" w:hint="eastAsia"/>
          <w:spacing w:val="-2"/>
          <w:sz w:val="21"/>
          <w:szCs w:val="21"/>
        </w:rPr>
        <w:t>、第十三届、第十五届、江西省第十六届社科优秀成果三等奖</w:t>
      </w:r>
      <w:r w:rsidR="00850F1B" w:rsidRPr="00A23B53">
        <w:rPr>
          <w:rFonts w:ascii="仿宋" w:eastAsia="仿宋" w:hAnsi="仿宋" w:hint="eastAsia"/>
          <w:spacing w:val="-2"/>
          <w:sz w:val="21"/>
          <w:szCs w:val="21"/>
        </w:rPr>
        <w:t>。</w:t>
      </w:r>
    </w:p>
    <w:p w14:paraId="4F37A933" w14:textId="19EBBC18" w:rsidR="00850F1B" w:rsidRPr="00533C4F" w:rsidRDefault="00850F1B" w:rsidP="00533C4F">
      <w:pPr>
        <w:ind w:firstLineChars="200" w:firstLine="472"/>
        <w:rPr>
          <w:rFonts w:ascii="宋体" w:eastAsia="宋体" w:hAnsi="宋体" w:hint="eastAsia"/>
          <w:color w:val="666666"/>
          <w:sz w:val="24"/>
          <w:shd w:val="clear" w:color="auto" w:fill="FFFFFF"/>
        </w:rPr>
      </w:pPr>
      <w:r w:rsidRPr="00533C4F">
        <w:rPr>
          <w:rFonts w:ascii="宋体" w:eastAsia="宋体" w:hAnsi="宋体" w:hint="eastAsia"/>
          <w:spacing w:val="-2"/>
          <w:sz w:val="24"/>
        </w:rPr>
        <w:t>电子邮箱：</w:t>
      </w:r>
      <w:hyperlink r:id="rId8" w:history="1">
        <w:r w:rsidRPr="00533C4F">
          <w:rPr>
            <w:rFonts w:ascii="宋体" w:eastAsia="宋体" w:hAnsi="宋体" w:hint="eastAsia"/>
            <w:spacing w:val="-2"/>
            <w:sz w:val="24"/>
          </w:rPr>
          <w:t>ccfu@ncu.edu.cn</w:t>
        </w:r>
      </w:hyperlink>
    </w:p>
    <w:p w14:paraId="0AE90257" w14:textId="69DFC651" w:rsidR="00850F1B" w:rsidRPr="00A23B53" w:rsidRDefault="00850F1B" w:rsidP="00A23B53">
      <w:pPr>
        <w:pStyle w:val="af3"/>
        <w:spacing w:before="203" w:line="216" w:lineRule="auto"/>
        <w:rPr>
          <w:rFonts w:hint="eastAsia"/>
          <w:b/>
          <w:bCs/>
          <w:spacing w:val="-7"/>
          <w:sz w:val="24"/>
          <w:szCs w:val="24"/>
          <w:lang w:eastAsia="zh-CN"/>
        </w:rPr>
      </w:pPr>
      <w:r w:rsidRPr="00A23B53">
        <w:rPr>
          <w:rFonts w:hint="eastAsia"/>
          <w:b/>
          <w:bCs/>
          <w:spacing w:val="-7"/>
          <w:sz w:val="24"/>
          <w:szCs w:val="24"/>
          <w:lang w:eastAsia="zh-CN"/>
        </w:rPr>
        <w:t>教育经历</w:t>
      </w:r>
    </w:p>
    <w:p w14:paraId="5D68C541" w14:textId="77777777" w:rsidR="00533C4F" w:rsidRPr="00A23B53" w:rsidRDefault="00850F1B" w:rsidP="00850F1B">
      <w:pPr>
        <w:pStyle w:val="Af1"/>
        <w:numPr>
          <w:ilvl w:val="0"/>
          <w:numId w:val="1"/>
        </w:numPr>
        <w:spacing w:line="400" w:lineRule="exact"/>
        <w:rPr>
          <w:rFonts w:ascii="仿宋" w:eastAsia="仿宋" w:hAnsi="仿宋" w:cs="Times New Roman" w:hint="eastAsia"/>
        </w:rPr>
      </w:pPr>
      <w:r w:rsidRPr="00A23B53">
        <w:rPr>
          <w:rFonts w:ascii="仿宋" w:eastAsia="仿宋" w:hAnsi="仿宋" w:cs="Times New Roman" w:hint="eastAsia"/>
          <w:lang w:val="zh-TW"/>
        </w:rPr>
        <w:t>博士</w:t>
      </w:r>
      <w:r w:rsidRPr="00A23B53">
        <w:rPr>
          <w:rFonts w:ascii="仿宋" w:eastAsia="仿宋" w:hAnsi="仿宋" w:cs="Times New Roman" w:hint="eastAsia"/>
        </w:rPr>
        <w:t>，</w:t>
      </w:r>
      <w:r w:rsidRPr="00A23B53">
        <w:rPr>
          <w:rFonts w:ascii="仿宋" w:eastAsia="仿宋" w:hAnsi="仿宋" w:cs="Times New Roman"/>
        </w:rPr>
        <w:t>1997—1999</w:t>
      </w:r>
      <w:r w:rsidRPr="00A23B53">
        <w:rPr>
          <w:rFonts w:ascii="仿宋" w:eastAsia="仿宋" w:hAnsi="仿宋" w:cs="Times New Roman" w:hint="eastAsia"/>
          <w:lang w:val="zh-TW"/>
        </w:rPr>
        <w:t>，武汉水利电力大学水文与水资源专业</w:t>
      </w:r>
    </w:p>
    <w:p w14:paraId="4E5BA9FF" w14:textId="77777777" w:rsidR="00533C4F" w:rsidRPr="00A23B53" w:rsidRDefault="00850F1B" w:rsidP="00850F1B">
      <w:pPr>
        <w:pStyle w:val="Af1"/>
        <w:numPr>
          <w:ilvl w:val="0"/>
          <w:numId w:val="1"/>
        </w:numPr>
        <w:spacing w:line="400" w:lineRule="exact"/>
        <w:rPr>
          <w:rFonts w:ascii="仿宋" w:eastAsia="仿宋" w:hAnsi="仿宋" w:cs="Times New Roman" w:hint="eastAsia"/>
        </w:rPr>
      </w:pPr>
      <w:r w:rsidRPr="00A23B53">
        <w:rPr>
          <w:rFonts w:ascii="仿宋" w:eastAsia="仿宋" w:hAnsi="仿宋" w:cs="Times New Roman" w:hint="eastAsia"/>
          <w:lang w:val="zh-TW"/>
        </w:rPr>
        <w:t>硕士</w:t>
      </w:r>
      <w:r w:rsidRPr="00A23B53">
        <w:rPr>
          <w:rFonts w:ascii="仿宋" w:eastAsia="仿宋" w:hAnsi="仿宋" w:cs="Times New Roman" w:hint="eastAsia"/>
        </w:rPr>
        <w:t>，</w:t>
      </w:r>
      <w:r w:rsidRPr="00A23B53">
        <w:rPr>
          <w:rFonts w:ascii="仿宋" w:eastAsia="仿宋" w:hAnsi="仿宋" w:cs="Times New Roman"/>
        </w:rPr>
        <w:t>1995—1997</w:t>
      </w:r>
      <w:r w:rsidRPr="00A23B53">
        <w:rPr>
          <w:rFonts w:ascii="仿宋" w:eastAsia="仿宋" w:hAnsi="仿宋" w:cs="Times New Roman" w:hint="eastAsia"/>
          <w:lang w:val="zh-TW"/>
        </w:rPr>
        <w:t>，南昌大学水力发电专业</w:t>
      </w:r>
    </w:p>
    <w:p w14:paraId="40BEAD0F" w14:textId="371D8742" w:rsidR="00533C4F" w:rsidRPr="00A23B53" w:rsidRDefault="00850F1B" w:rsidP="00533C4F">
      <w:pPr>
        <w:pStyle w:val="Af1"/>
        <w:numPr>
          <w:ilvl w:val="0"/>
          <w:numId w:val="1"/>
        </w:numPr>
        <w:spacing w:line="400" w:lineRule="exact"/>
        <w:rPr>
          <w:rFonts w:ascii="仿宋" w:eastAsia="仿宋" w:hAnsi="仿宋" w:cstheme="minorBidi" w:hint="eastAsia"/>
          <w:color w:val="auto"/>
          <w:spacing w:val="-2"/>
          <w14:ligatures w14:val="standardContextual"/>
        </w:rPr>
      </w:pPr>
      <w:r w:rsidRPr="00A23B53">
        <w:rPr>
          <w:rFonts w:ascii="仿宋" w:eastAsia="仿宋" w:hAnsi="仿宋" w:cstheme="minorBidi" w:hint="eastAsia"/>
          <w:color w:val="auto"/>
          <w:spacing w:val="-2"/>
          <w14:ligatures w14:val="standardContextual"/>
        </w:rPr>
        <w:t>学士，</w:t>
      </w:r>
      <w:r w:rsidRPr="00A23B53">
        <w:rPr>
          <w:rFonts w:ascii="仿宋" w:eastAsia="仿宋" w:hAnsi="仿宋" w:cstheme="minorBidi"/>
          <w:color w:val="auto"/>
          <w:spacing w:val="-2"/>
          <w14:ligatures w14:val="standardContextual"/>
        </w:rPr>
        <w:t>1982—1986</w:t>
      </w:r>
      <w:r w:rsidRPr="00A23B53">
        <w:rPr>
          <w:rFonts w:ascii="仿宋" w:eastAsia="仿宋" w:hAnsi="仿宋" w:cstheme="minorBidi" w:hint="eastAsia"/>
          <w:color w:val="auto"/>
          <w:spacing w:val="-2"/>
          <w14:ligatures w14:val="standardContextual"/>
        </w:rPr>
        <w:t>，</w:t>
      </w:r>
      <w:r w:rsidRPr="00A23B53">
        <w:rPr>
          <w:rFonts w:ascii="仿宋" w:eastAsia="仿宋" w:hAnsi="仿宋" w:cstheme="minorBidi"/>
          <w:color w:val="auto"/>
          <w:spacing w:val="-2"/>
          <w14:ligatures w14:val="standardContextual"/>
        </w:rPr>
        <w:t xml:space="preserve"> </w:t>
      </w:r>
      <w:r w:rsidRPr="00A23B53">
        <w:rPr>
          <w:rFonts w:ascii="仿宋" w:eastAsia="仿宋" w:hAnsi="仿宋" w:cstheme="minorBidi" w:hint="eastAsia"/>
          <w:color w:val="auto"/>
          <w:spacing w:val="-2"/>
          <w14:ligatures w14:val="standardContextual"/>
        </w:rPr>
        <w:t>江西工业大学土木工程建筑系</w:t>
      </w:r>
    </w:p>
    <w:p w14:paraId="18418CC3" w14:textId="77777777" w:rsidR="00F07E0B" w:rsidRPr="00A23B53" w:rsidRDefault="00F07E0B" w:rsidP="00A23B53">
      <w:pPr>
        <w:pStyle w:val="af3"/>
        <w:spacing w:before="203" w:line="216" w:lineRule="auto"/>
        <w:rPr>
          <w:rFonts w:hint="eastAsia"/>
          <w:b/>
          <w:bCs/>
          <w:spacing w:val="-7"/>
          <w:sz w:val="24"/>
          <w:szCs w:val="24"/>
          <w:lang w:eastAsia="zh-CN"/>
        </w:rPr>
      </w:pPr>
      <w:r w:rsidRPr="00A23B53">
        <w:rPr>
          <w:rFonts w:hint="eastAsia"/>
          <w:b/>
          <w:bCs/>
          <w:spacing w:val="-7"/>
          <w:sz w:val="24"/>
          <w:szCs w:val="24"/>
          <w:lang w:eastAsia="zh-CN"/>
        </w:rPr>
        <w:t>工作经历</w:t>
      </w:r>
    </w:p>
    <w:p w14:paraId="4B82B6F8" w14:textId="64444075" w:rsidR="00533C4F" w:rsidRPr="00A23B53" w:rsidRDefault="00533C4F" w:rsidP="004D620D">
      <w:pPr>
        <w:pStyle w:val="Af1"/>
        <w:numPr>
          <w:ilvl w:val="0"/>
          <w:numId w:val="7"/>
        </w:numPr>
        <w:spacing w:line="400" w:lineRule="exact"/>
        <w:rPr>
          <w:rFonts w:ascii="仿宋" w:eastAsia="仿宋" w:hAnsi="仿宋" w:cs="Times New Roman" w:hint="eastAsia"/>
        </w:rPr>
      </w:pPr>
      <w:r w:rsidRPr="00A23B53">
        <w:rPr>
          <w:rFonts w:ascii="仿宋" w:eastAsia="仿宋" w:hAnsi="仿宋" w:cs="Times New Roman" w:hint="eastAsia"/>
        </w:rPr>
        <w:t>2003.12-至今，南昌大学，工程建设学院，教授</w:t>
      </w:r>
    </w:p>
    <w:p w14:paraId="63D101F0" w14:textId="77DAF64E" w:rsidR="004D620D" w:rsidRPr="00A23B53" w:rsidRDefault="00B46771" w:rsidP="004D620D">
      <w:pPr>
        <w:pStyle w:val="Af1"/>
        <w:numPr>
          <w:ilvl w:val="0"/>
          <w:numId w:val="7"/>
        </w:numPr>
        <w:spacing w:line="400" w:lineRule="exact"/>
        <w:rPr>
          <w:rFonts w:ascii="仿宋" w:eastAsia="仿宋" w:hAnsi="仿宋" w:cs="Times New Roman" w:hint="eastAsia"/>
          <w:lang w:val="zh-TW"/>
        </w:rPr>
      </w:pPr>
      <w:r w:rsidRPr="00A23B53">
        <w:rPr>
          <w:rFonts w:ascii="仿宋" w:eastAsia="仿宋" w:hAnsi="仿宋" w:cs="Times New Roman" w:hint="eastAsia"/>
          <w:lang w:val="zh-TW"/>
        </w:rPr>
        <w:t>2010.1-2011.5，美国明尼苏达大学和耶鲁大学访问学者</w:t>
      </w:r>
    </w:p>
    <w:p w14:paraId="70B21B56" w14:textId="028D38B3" w:rsidR="00533C4F" w:rsidRPr="00A23B53" w:rsidRDefault="00533C4F" w:rsidP="00533C4F">
      <w:pPr>
        <w:pStyle w:val="Af1"/>
        <w:spacing w:line="400" w:lineRule="exact"/>
        <w:rPr>
          <w:rFonts w:ascii="仿宋" w:eastAsia="仿宋" w:hAnsi="仿宋" w:cs="Times New Roman" w:hint="eastAsia"/>
          <w:lang w:val="zh-TW"/>
        </w:rPr>
      </w:pPr>
      <w:r w:rsidRPr="00A23B53">
        <w:rPr>
          <w:rFonts w:ascii="仿宋" w:eastAsia="仿宋" w:hAnsi="仿宋" w:cs="Times New Roman" w:hint="eastAsia"/>
          <w:lang w:val="zh-TW"/>
        </w:rPr>
        <w:t>(</w:t>
      </w:r>
      <w:r w:rsidR="00A23B53">
        <w:rPr>
          <w:rFonts w:ascii="仿宋" w:eastAsia="仿宋" w:hAnsi="仿宋" w:cs="Times New Roman" w:hint="eastAsia"/>
          <w:lang w:val="zh-TW"/>
        </w:rPr>
        <w:t>3</w:t>
      </w:r>
      <w:r w:rsidRPr="00A23B53">
        <w:rPr>
          <w:rFonts w:ascii="仿宋" w:eastAsia="仿宋" w:hAnsi="仿宋" w:cs="Times New Roman" w:hint="eastAsia"/>
          <w:lang w:val="zh-TW"/>
        </w:rPr>
        <w:t>)</w:t>
      </w:r>
      <w:r w:rsidRPr="00A23B53">
        <w:rPr>
          <w:rFonts w:ascii="仿宋" w:eastAsia="仿宋" w:hAnsi="仿宋" w:cs="Times New Roman" w:hint="eastAsia"/>
          <w:lang w:val="zh-TW"/>
        </w:rPr>
        <w:tab/>
        <w:t>2002.1-2003.1，荷兰Delft理工大学，Delft水利研究所，访问学者</w:t>
      </w:r>
    </w:p>
    <w:p w14:paraId="7BCFAAE0" w14:textId="62762294" w:rsidR="00533C4F" w:rsidRPr="00A23B53" w:rsidRDefault="00533C4F" w:rsidP="00533C4F">
      <w:pPr>
        <w:pStyle w:val="Af1"/>
        <w:spacing w:line="400" w:lineRule="exact"/>
        <w:rPr>
          <w:rFonts w:ascii="仿宋" w:eastAsia="仿宋" w:hAnsi="仿宋" w:cs="Times New Roman" w:hint="eastAsia"/>
          <w:b/>
          <w:bCs/>
        </w:rPr>
      </w:pPr>
      <w:r w:rsidRPr="00A23B53">
        <w:rPr>
          <w:rFonts w:ascii="仿宋" w:eastAsia="仿宋" w:hAnsi="仿宋" w:cs="Times New Roman" w:hint="eastAsia"/>
          <w:lang w:val="zh-TW"/>
        </w:rPr>
        <w:t>(</w:t>
      </w:r>
      <w:r w:rsidR="00A23B53">
        <w:rPr>
          <w:rFonts w:ascii="仿宋" w:eastAsia="仿宋" w:hAnsi="仿宋" w:cs="Times New Roman" w:hint="eastAsia"/>
          <w:lang w:val="zh-TW"/>
        </w:rPr>
        <w:t>4</w:t>
      </w:r>
      <w:r w:rsidRPr="00A23B53">
        <w:rPr>
          <w:rFonts w:ascii="仿宋" w:eastAsia="仿宋" w:hAnsi="仿宋" w:cs="Times New Roman" w:hint="eastAsia"/>
          <w:lang w:val="zh-TW"/>
        </w:rPr>
        <w:t>)</w:t>
      </w:r>
      <w:r w:rsidRPr="00A23B53">
        <w:rPr>
          <w:rFonts w:ascii="仿宋" w:eastAsia="仿宋" w:hAnsi="仿宋" w:cs="Times New Roman" w:hint="eastAsia"/>
          <w:lang w:val="zh-TW"/>
        </w:rPr>
        <w:tab/>
      </w:r>
      <w:r w:rsidRPr="00A23B53">
        <w:rPr>
          <w:rFonts w:ascii="仿宋" w:eastAsia="仿宋" w:hAnsi="仿宋" w:cs="Times New Roman"/>
        </w:rPr>
        <w:t>2000.3-2001.12</w:t>
      </w:r>
      <w:r w:rsidRPr="00A23B53">
        <w:rPr>
          <w:rFonts w:ascii="仿宋" w:eastAsia="仿宋" w:hAnsi="仿宋" w:cs="Times New Roman" w:hint="eastAsia"/>
        </w:rPr>
        <w:t>，北京师范大学，环境科学研究所，博士后</w:t>
      </w:r>
    </w:p>
    <w:p w14:paraId="403E02D6" w14:textId="0F93F408" w:rsidR="00F07E0B" w:rsidRPr="00A23B53" w:rsidRDefault="00533C4F" w:rsidP="00533C4F">
      <w:pPr>
        <w:pStyle w:val="Af1"/>
        <w:spacing w:line="400" w:lineRule="exact"/>
        <w:rPr>
          <w:rFonts w:ascii="仿宋" w:eastAsia="仿宋" w:hAnsi="仿宋" w:cs="Times New Roman" w:hint="eastAsia"/>
          <w:lang w:val="zh-TW"/>
        </w:rPr>
      </w:pPr>
      <w:r w:rsidRPr="00A23B53">
        <w:rPr>
          <w:rFonts w:ascii="仿宋" w:eastAsia="仿宋" w:hAnsi="仿宋" w:cs="Times New Roman" w:hint="eastAsia"/>
          <w:lang w:val="zh-TW"/>
        </w:rPr>
        <w:t>(</w:t>
      </w:r>
      <w:r w:rsidR="00A23B53">
        <w:rPr>
          <w:rFonts w:ascii="仿宋" w:eastAsia="仿宋" w:hAnsi="仿宋" w:cs="Times New Roman" w:hint="eastAsia"/>
          <w:lang w:val="zh-TW"/>
        </w:rPr>
        <w:t>5</w:t>
      </w:r>
      <w:r w:rsidRPr="00A23B53">
        <w:rPr>
          <w:rFonts w:ascii="仿宋" w:eastAsia="仿宋" w:hAnsi="仿宋" w:cs="Times New Roman" w:hint="eastAsia"/>
          <w:lang w:val="zh-TW"/>
        </w:rPr>
        <w:t>)</w:t>
      </w:r>
      <w:r w:rsidRPr="00A23B53">
        <w:rPr>
          <w:rFonts w:ascii="仿宋" w:eastAsia="仿宋" w:hAnsi="仿宋" w:cs="Times New Roman" w:hint="eastAsia"/>
          <w:lang w:val="zh-TW"/>
        </w:rPr>
        <w:tab/>
        <w:t>1986.7-1995.9，江西省水利水电规划设计院，助理工程师</w:t>
      </w:r>
    </w:p>
    <w:p w14:paraId="0A1E0410" w14:textId="14824AB1" w:rsidR="00F07E0B" w:rsidRPr="00A23B53" w:rsidRDefault="00533C4F" w:rsidP="00A23B53">
      <w:pPr>
        <w:pStyle w:val="af3"/>
        <w:spacing w:before="203" w:line="216" w:lineRule="auto"/>
        <w:rPr>
          <w:rFonts w:hint="eastAsia"/>
          <w:b/>
          <w:bCs/>
          <w:spacing w:val="-7"/>
          <w:sz w:val="24"/>
          <w:szCs w:val="24"/>
          <w:lang w:eastAsia="zh-CN"/>
        </w:rPr>
      </w:pPr>
      <w:r w:rsidRPr="00A23B53">
        <w:rPr>
          <w:rFonts w:hint="eastAsia"/>
          <w:b/>
          <w:bCs/>
          <w:spacing w:val="-7"/>
          <w:sz w:val="24"/>
          <w:szCs w:val="24"/>
          <w:lang w:eastAsia="zh-CN"/>
        </w:rPr>
        <w:t xml:space="preserve">代表性科研项目（限 </w:t>
      </w:r>
      <w:r w:rsidR="00F07E0B" w:rsidRPr="00A23B53">
        <w:rPr>
          <w:rFonts w:hint="eastAsia"/>
          <w:b/>
          <w:bCs/>
          <w:spacing w:val="-7"/>
          <w:sz w:val="24"/>
          <w:szCs w:val="24"/>
          <w:lang w:eastAsia="zh-CN"/>
        </w:rPr>
        <w:t>5</w:t>
      </w:r>
      <w:r w:rsidRPr="00A23B53">
        <w:rPr>
          <w:b/>
          <w:bCs/>
          <w:spacing w:val="-7"/>
          <w:sz w:val="24"/>
          <w:szCs w:val="24"/>
          <w:lang w:eastAsia="zh-CN"/>
        </w:rPr>
        <w:t xml:space="preserve"> </w:t>
      </w:r>
      <w:r w:rsidRPr="00A23B53">
        <w:rPr>
          <w:rFonts w:hint="eastAsia"/>
          <w:b/>
          <w:bCs/>
          <w:spacing w:val="-7"/>
          <w:sz w:val="24"/>
          <w:szCs w:val="24"/>
          <w:lang w:eastAsia="zh-CN"/>
        </w:rPr>
        <w:t>项）：</w:t>
      </w:r>
    </w:p>
    <w:p w14:paraId="6E565B3E" w14:textId="4FAE3A06" w:rsidR="001E668D" w:rsidRPr="00A23B53" w:rsidRDefault="001E668D" w:rsidP="00685981">
      <w:pPr>
        <w:pStyle w:val="Af1"/>
        <w:numPr>
          <w:ilvl w:val="0"/>
          <w:numId w:val="3"/>
        </w:numPr>
        <w:spacing w:line="400" w:lineRule="exact"/>
        <w:rPr>
          <w:rFonts w:ascii="仿宋" w:eastAsia="仿宋" w:hAnsi="仿宋" w:cs="Times New Roman" w:hint="eastAsia"/>
        </w:rPr>
      </w:pPr>
      <w:r w:rsidRPr="00A23B53">
        <w:rPr>
          <w:rFonts w:ascii="仿宋" w:eastAsia="仿宋" w:hAnsi="仿宋" w:cs="Times New Roman"/>
          <w:lang w:val="zh-TW"/>
        </w:rPr>
        <w:t>国家社科基金年度项目，鄱阳湖流域农业面源污染治理的路径与支持政策研究</w:t>
      </w:r>
      <w:r w:rsidRPr="00A23B53">
        <w:rPr>
          <w:rFonts w:ascii="仿宋" w:eastAsia="仿宋" w:hAnsi="仿宋" w:cs="Times New Roman" w:hint="eastAsia"/>
          <w:lang w:val="zh-TW"/>
        </w:rPr>
        <w:t>，</w:t>
      </w:r>
      <w:r w:rsidRPr="00A23B53">
        <w:rPr>
          <w:rFonts w:ascii="仿宋" w:eastAsia="仿宋" w:hAnsi="仿宋" w:cs="Times New Roman"/>
        </w:rPr>
        <w:t>2018</w:t>
      </w:r>
      <w:r w:rsidR="00685981" w:rsidRPr="00A23B53">
        <w:rPr>
          <w:rFonts w:ascii="仿宋" w:eastAsia="仿宋" w:hAnsi="仿宋" w:cs="Times New Roman" w:hint="eastAsia"/>
        </w:rPr>
        <w:t>.01</w:t>
      </w:r>
      <w:r w:rsidRPr="00A23B53">
        <w:rPr>
          <w:rFonts w:ascii="仿宋" w:eastAsia="仿宋" w:hAnsi="仿宋" w:cs="Times New Roman"/>
        </w:rPr>
        <w:t>-2020</w:t>
      </w:r>
      <w:r w:rsidR="00685981" w:rsidRPr="00A23B53">
        <w:rPr>
          <w:rFonts w:ascii="仿宋" w:eastAsia="仿宋" w:hAnsi="仿宋" w:cs="Times New Roman" w:hint="eastAsia"/>
        </w:rPr>
        <w:t>.12，</w:t>
      </w:r>
      <w:r w:rsidRPr="00A23B53">
        <w:rPr>
          <w:rFonts w:ascii="仿宋" w:eastAsia="仿宋" w:hAnsi="仿宋" w:cs="Times New Roman" w:hint="eastAsia"/>
        </w:rPr>
        <w:t xml:space="preserve">主持； </w:t>
      </w:r>
    </w:p>
    <w:p w14:paraId="3EF0E126" w14:textId="344E0161" w:rsidR="00685981" w:rsidRPr="00A23B53" w:rsidRDefault="00685981" w:rsidP="00685981">
      <w:pPr>
        <w:pStyle w:val="Af1"/>
        <w:numPr>
          <w:ilvl w:val="0"/>
          <w:numId w:val="3"/>
        </w:numPr>
        <w:spacing w:line="400" w:lineRule="exact"/>
        <w:rPr>
          <w:rFonts w:ascii="仿宋" w:eastAsia="仿宋" w:hAnsi="仿宋" w:cs="Times New Roman" w:hint="eastAsia"/>
        </w:rPr>
      </w:pPr>
      <w:r w:rsidRPr="00A23B53">
        <w:rPr>
          <w:rFonts w:ascii="仿宋" w:eastAsia="仿宋" w:hAnsi="仿宋" w:cs="Times New Roman" w:hint="eastAsia"/>
        </w:rPr>
        <w:t>国家自然基金委，环鄱阳湖水污染控制与产业结构调整和空间布局的对策研究，2008.01-2010.12，主持；</w:t>
      </w:r>
    </w:p>
    <w:p w14:paraId="13FC3680" w14:textId="2F97C865" w:rsidR="00685981" w:rsidRPr="00A23B53" w:rsidRDefault="00685981" w:rsidP="00533C4F">
      <w:pPr>
        <w:pStyle w:val="Af1"/>
        <w:numPr>
          <w:ilvl w:val="0"/>
          <w:numId w:val="3"/>
        </w:numPr>
        <w:spacing w:line="400" w:lineRule="exact"/>
        <w:rPr>
          <w:rFonts w:ascii="仿宋" w:eastAsia="仿宋" w:hAnsi="仿宋" w:cs="Times New Roman" w:hint="eastAsia"/>
        </w:rPr>
      </w:pPr>
      <w:r w:rsidRPr="00A23B53">
        <w:rPr>
          <w:rFonts w:ascii="仿宋" w:eastAsia="仿宋" w:hAnsi="仿宋" w:cs="Times New Roman" w:hint="eastAsia"/>
        </w:rPr>
        <w:t>国家社科基金项目, 长江中下游蓄洪区移民脱贫与创业模式研究，2007.1-2007.12，主持；</w:t>
      </w:r>
    </w:p>
    <w:p w14:paraId="105F00B2" w14:textId="7AF8EE41" w:rsidR="00533C4F" w:rsidRPr="00A23B53" w:rsidRDefault="00C37EA5" w:rsidP="00533C4F">
      <w:pPr>
        <w:pStyle w:val="Af1"/>
        <w:numPr>
          <w:ilvl w:val="0"/>
          <w:numId w:val="3"/>
        </w:numPr>
        <w:spacing w:line="400" w:lineRule="exact"/>
        <w:rPr>
          <w:rFonts w:ascii="仿宋" w:eastAsia="仿宋" w:hAnsi="仿宋" w:cs="Times New Roman" w:hint="eastAsia"/>
        </w:rPr>
      </w:pPr>
      <w:r w:rsidRPr="00A23B53">
        <w:rPr>
          <w:rFonts w:ascii="仿宋" w:eastAsia="仿宋" w:hAnsi="仿宋" w:cs="Times New Roman" w:hint="eastAsia"/>
          <w:lang w:val="zh-TW"/>
        </w:rPr>
        <w:t>国家社科基金年度项目，鄱阳湖流域农业面源污染治理的路径与支持政策研究（18BGL187）</w:t>
      </w:r>
      <w:r w:rsidR="00685981" w:rsidRPr="00A23B53">
        <w:rPr>
          <w:rFonts w:ascii="仿宋" w:eastAsia="仿宋" w:hAnsi="仿宋" w:cs="Times New Roman" w:hint="eastAsia"/>
          <w:lang w:val="zh-TW"/>
        </w:rPr>
        <w:t>；</w:t>
      </w:r>
      <w:r w:rsidRPr="00A23B53">
        <w:rPr>
          <w:rFonts w:ascii="仿宋" w:eastAsia="仿宋" w:hAnsi="仿宋" w:cs="Times New Roman" w:hint="eastAsia"/>
          <w:lang w:val="zh-TW"/>
        </w:rPr>
        <w:t>2018-2020，主持</w:t>
      </w:r>
    </w:p>
    <w:p w14:paraId="46A1B4AC" w14:textId="1D158051" w:rsidR="00685981" w:rsidRPr="00A23B53" w:rsidRDefault="00B46771" w:rsidP="00533C4F">
      <w:pPr>
        <w:pStyle w:val="Af1"/>
        <w:numPr>
          <w:ilvl w:val="0"/>
          <w:numId w:val="3"/>
        </w:numPr>
        <w:spacing w:line="400" w:lineRule="exact"/>
        <w:rPr>
          <w:rFonts w:ascii="仿宋" w:eastAsia="仿宋" w:hAnsi="仿宋" w:cs="Times New Roman" w:hint="eastAsia"/>
        </w:rPr>
      </w:pPr>
      <w:bookmarkStart w:id="0" w:name="OLE_LINK43"/>
      <w:r w:rsidRPr="00A23B53">
        <w:rPr>
          <w:rFonts w:ascii="仿宋" w:eastAsia="仿宋" w:hAnsi="仿宋" w:cs="Times New Roman" w:hint="eastAsia"/>
        </w:rPr>
        <w:lastRenderedPageBreak/>
        <w:t>教育部基地重大招标课题：基于协调视阈的中部绿色发展竞争力研究（18JJD790006）</w:t>
      </w:r>
      <w:r w:rsidR="00685981" w:rsidRPr="00A23B53">
        <w:rPr>
          <w:rFonts w:ascii="仿宋" w:eastAsia="仿宋" w:hAnsi="仿宋" w:cs="Times New Roman" w:hint="eastAsia"/>
        </w:rPr>
        <w:t>,</w:t>
      </w:r>
      <w:r w:rsidRPr="00A23B53">
        <w:rPr>
          <w:rFonts w:ascii="仿宋" w:eastAsia="仿宋" w:hAnsi="仿宋" w:cs="Times New Roman" w:hint="eastAsia"/>
        </w:rPr>
        <w:t>2018-2022，</w:t>
      </w:r>
      <w:r w:rsidR="00685981" w:rsidRPr="00A23B53">
        <w:rPr>
          <w:rFonts w:ascii="仿宋" w:eastAsia="仿宋" w:hAnsi="仿宋" w:cs="Times New Roman" w:hint="eastAsia"/>
        </w:rPr>
        <w:t>主持；</w:t>
      </w:r>
      <w:bookmarkEnd w:id="0"/>
    </w:p>
    <w:p w14:paraId="36C1D125" w14:textId="77777777" w:rsidR="00685981" w:rsidRPr="00A23B53" w:rsidRDefault="00F07E0B" w:rsidP="00A23B53">
      <w:pPr>
        <w:pStyle w:val="af3"/>
        <w:spacing w:before="203" w:line="216" w:lineRule="auto"/>
        <w:ind w:left="540"/>
        <w:rPr>
          <w:rFonts w:hint="eastAsia"/>
          <w:b/>
          <w:bCs/>
          <w:spacing w:val="-7"/>
          <w:sz w:val="24"/>
          <w:szCs w:val="24"/>
          <w:lang w:eastAsia="zh-CN"/>
        </w:rPr>
      </w:pPr>
      <w:r w:rsidRPr="00A23B53">
        <w:rPr>
          <w:rFonts w:hint="eastAsia"/>
          <w:b/>
          <w:bCs/>
          <w:spacing w:val="-7"/>
          <w:sz w:val="24"/>
          <w:szCs w:val="24"/>
          <w:lang w:eastAsia="zh-CN"/>
        </w:rPr>
        <w:t>代表性科研成果（限 10 项）：</w:t>
      </w:r>
    </w:p>
    <w:p w14:paraId="3D91ECAA" w14:textId="5BAC3975" w:rsidR="00B46771" w:rsidRPr="00A23B53" w:rsidRDefault="00B46771" w:rsidP="00E671E0">
      <w:pPr>
        <w:pStyle w:val="a9"/>
        <w:numPr>
          <w:ilvl w:val="0"/>
          <w:numId w:val="6"/>
        </w:numPr>
        <w:spacing w:after="0" w:line="400" w:lineRule="exact"/>
        <w:jc w:val="both"/>
        <w:rPr>
          <w:rFonts w:ascii="仿宋" w:eastAsia="仿宋" w:hAnsi="仿宋" w:hint="eastAsia"/>
          <w:sz w:val="21"/>
          <w:szCs w:val="21"/>
        </w:rPr>
      </w:pPr>
      <w:r w:rsidRPr="00A23B53">
        <w:rPr>
          <w:rFonts w:ascii="仿宋" w:eastAsia="仿宋" w:hAnsi="仿宋" w:hint="eastAsia"/>
          <w:sz w:val="21"/>
          <w:szCs w:val="21"/>
        </w:rPr>
        <w:t>傅春，中部绿色竞争力研究报告，社会科学文献出版社，2020年8月，ISBN978-7-5201-6625-6</w:t>
      </w:r>
    </w:p>
    <w:p w14:paraId="472159B5" w14:textId="68290ACA" w:rsidR="00B46771" w:rsidRPr="00A23B53" w:rsidRDefault="00B46771" w:rsidP="00E671E0">
      <w:pPr>
        <w:pStyle w:val="a9"/>
        <w:numPr>
          <w:ilvl w:val="0"/>
          <w:numId w:val="6"/>
        </w:numPr>
        <w:spacing w:after="0" w:line="400" w:lineRule="exact"/>
        <w:jc w:val="both"/>
        <w:rPr>
          <w:rFonts w:ascii="仿宋" w:eastAsia="仿宋" w:hAnsi="仿宋" w:hint="eastAsia"/>
          <w:sz w:val="21"/>
          <w:szCs w:val="21"/>
        </w:rPr>
      </w:pPr>
      <w:r w:rsidRPr="00A23B53">
        <w:rPr>
          <w:rFonts w:ascii="仿宋" w:eastAsia="仿宋" w:hAnsi="仿宋" w:hint="eastAsia"/>
          <w:sz w:val="21"/>
          <w:szCs w:val="21"/>
        </w:rPr>
        <w:t>傅春，</w:t>
      </w:r>
      <w:r w:rsidR="00765884" w:rsidRPr="00A23B53">
        <w:rPr>
          <w:rFonts w:ascii="仿宋" w:eastAsia="仿宋" w:hAnsi="仿宋" w:hint="eastAsia"/>
          <w:sz w:val="21"/>
          <w:szCs w:val="21"/>
        </w:rPr>
        <w:t>鄱阳湖流域灰水足迹与生境质量评价，南京大学出版社，2023年12月</w:t>
      </w:r>
    </w:p>
    <w:p w14:paraId="6EB3D259" w14:textId="171D01C6" w:rsidR="00765884" w:rsidRPr="00A23B53" w:rsidRDefault="00E0567D" w:rsidP="00765884">
      <w:pPr>
        <w:pStyle w:val="a9"/>
        <w:numPr>
          <w:ilvl w:val="0"/>
          <w:numId w:val="6"/>
        </w:numPr>
        <w:spacing w:after="0" w:line="400" w:lineRule="exact"/>
        <w:jc w:val="both"/>
        <w:rPr>
          <w:rFonts w:ascii="仿宋" w:eastAsia="仿宋" w:hAnsi="仿宋" w:hint="eastAsia"/>
          <w:sz w:val="21"/>
          <w:szCs w:val="21"/>
        </w:rPr>
      </w:pPr>
      <w:proofErr w:type="gramStart"/>
      <w:r w:rsidRPr="00A23B53">
        <w:rPr>
          <w:rFonts w:ascii="仿宋" w:eastAsia="仿宋" w:hAnsi="仿宋" w:hint="eastAsia"/>
          <w:sz w:val="21"/>
          <w:szCs w:val="21"/>
        </w:rPr>
        <w:t>傅春</w:t>
      </w:r>
      <w:proofErr w:type="gramEnd"/>
      <w:r w:rsidRPr="00A23B53">
        <w:rPr>
          <w:rFonts w:ascii="仿宋" w:eastAsia="仿宋" w:hAnsi="仿宋" w:hint="eastAsia"/>
          <w:sz w:val="21"/>
          <w:szCs w:val="21"/>
        </w:rPr>
        <w:t>,</w:t>
      </w:r>
      <w:r w:rsidR="00765884" w:rsidRPr="00A23B53">
        <w:rPr>
          <w:rFonts w:ascii="仿宋" w:eastAsia="仿宋" w:hAnsi="仿宋" w:hint="eastAsia"/>
          <w:sz w:val="21"/>
          <w:szCs w:val="21"/>
        </w:rPr>
        <w:t xml:space="preserve"> 江西样板——江西生态文明建设的经验与评价，江西人民出版社，2016年6月</w:t>
      </w:r>
    </w:p>
    <w:p w14:paraId="0672DB04" w14:textId="4F1CFDFF" w:rsidR="00E0567D" w:rsidRPr="00A23B53" w:rsidRDefault="00E0567D" w:rsidP="00E0567D">
      <w:pPr>
        <w:pStyle w:val="a9"/>
        <w:numPr>
          <w:ilvl w:val="0"/>
          <w:numId w:val="6"/>
        </w:numPr>
        <w:spacing w:after="0" w:line="400" w:lineRule="exact"/>
        <w:jc w:val="both"/>
        <w:rPr>
          <w:rFonts w:ascii="仿宋" w:eastAsia="仿宋" w:hAnsi="仿宋" w:hint="eastAsia"/>
          <w:sz w:val="21"/>
          <w:szCs w:val="21"/>
        </w:rPr>
      </w:pPr>
      <w:proofErr w:type="gramStart"/>
      <w:r w:rsidRPr="00A23B53">
        <w:rPr>
          <w:rFonts w:ascii="仿宋" w:eastAsia="仿宋" w:hAnsi="仿宋" w:hint="eastAsia"/>
          <w:sz w:val="21"/>
          <w:szCs w:val="21"/>
        </w:rPr>
        <w:t>傅春,毛安</w:t>
      </w:r>
      <w:proofErr w:type="gramEnd"/>
      <w:r w:rsidRPr="00A23B53">
        <w:rPr>
          <w:rFonts w:ascii="仿宋" w:eastAsia="仿宋" w:hAnsi="仿宋" w:hint="eastAsia"/>
          <w:sz w:val="21"/>
          <w:szCs w:val="21"/>
        </w:rPr>
        <w:t>琪.抚河流域径流对土地利用变化时空响应[J].长江流域资源与环境,2021,30(02):342-350.</w:t>
      </w:r>
    </w:p>
    <w:p w14:paraId="15A6D286" w14:textId="2648F761" w:rsidR="00E0567D" w:rsidRPr="00A23B53" w:rsidRDefault="00E0567D" w:rsidP="00E0567D">
      <w:pPr>
        <w:pStyle w:val="a9"/>
        <w:numPr>
          <w:ilvl w:val="0"/>
          <w:numId w:val="6"/>
        </w:numPr>
        <w:spacing w:after="0" w:line="400" w:lineRule="exact"/>
        <w:jc w:val="both"/>
        <w:rPr>
          <w:rFonts w:ascii="仿宋" w:eastAsia="仿宋" w:hAnsi="仿宋" w:hint="eastAsia"/>
          <w:sz w:val="21"/>
          <w:szCs w:val="21"/>
        </w:rPr>
      </w:pPr>
      <w:r w:rsidRPr="00A23B53">
        <w:rPr>
          <w:rFonts w:ascii="仿宋" w:eastAsia="仿宋" w:hAnsi="仿宋" w:hint="eastAsia"/>
          <w:sz w:val="21"/>
          <w:szCs w:val="21"/>
        </w:rPr>
        <w:t>傅春，邓俊鹏，</w:t>
      </w:r>
      <w:proofErr w:type="gramStart"/>
      <w:r w:rsidRPr="00A23B53">
        <w:rPr>
          <w:rFonts w:ascii="仿宋" w:eastAsia="仿宋" w:hAnsi="仿宋" w:hint="eastAsia"/>
          <w:sz w:val="21"/>
          <w:szCs w:val="21"/>
        </w:rPr>
        <w:t>吴远卓</w:t>
      </w:r>
      <w:proofErr w:type="gramEnd"/>
      <w:r w:rsidRPr="00A23B53">
        <w:rPr>
          <w:rFonts w:ascii="仿宋" w:eastAsia="仿宋" w:hAnsi="仿宋" w:hint="eastAsia"/>
          <w:sz w:val="21"/>
          <w:szCs w:val="21"/>
        </w:rPr>
        <w:t>. 基于BP神经网络和协调度的河流健康评价[J].长江流域资源与环境，2020（06）；1422-1431.</w:t>
      </w:r>
    </w:p>
    <w:p w14:paraId="51B49A89" w14:textId="672E46AC" w:rsidR="00E0567D" w:rsidRPr="00A23B53" w:rsidRDefault="00E0567D" w:rsidP="00E0567D">
      <w:pPr>
        <w:pStyle w:val="a9"/>
        <w:numPr>
          <w:ilvl w:val="0"/>
          <w:numId w:val="6"/>
        </w:numPr>
        <w:spacing w:after="0" w:line="400" w:lineRule="exact"/>
        <w:jc w:val="both"/>
        <w:rPr>
          <w:rFonts w:ascii="仿宋" w:eastAsia="仿宋" w:hAnsi="仿宋" w:hint="eastAsia"/>
          <w:sz w:val="21"/>
          <w:szCs w:val="21"/>
        </w:rPr>
      </w:pPr>
      <w:r w:rsidRPr="00A23B53">
        <w:rPr>
          <w:rFonts w:ascii="仿宋" w:eastAsia="仿宋" w:hAnsi="仿宋" w:hint="eastAsia"/>
          <w:sz w:val="21"/>
          <w:szCs w:val="21"/>
        </w:rPr>
        <w:t>Fu, C.; Li, Y.; Zhang, J.; Min, W., Efficiency evaluation of green innovation of China's heavy pollution industries based on SBM-Lasso-Tobit model. PloS one 2022, 17 (9), e0274875-e0274875.</w:t>
      </w:r>
    </w:p>
    <w:p w14:paraId="30D1FD3C" w14:textId="416A29C1" w:rsidR="006069D1" w:rsidRPr="00A23B53" w:rsidRDefault="006069D1" w:rsidP="00E0567D">
      <w:pPr>
        <w:pStyle w:val="a9"/>
        <w:numPr>
          <w:ilvl w:val="0"/>
          <w:numId w:val="6"/>
        </w:numPr>
        <w:spacing w:after="0" w:line="400" w:lineRule="exact"/>
        <w:jc w:val="both"/>
        <w:rPr>
          <w:rFonts w:ascii="仿宋" w:eastAsia="仿宋" w:hAnsi="仿宋" w:hint="eastAsia"/>
          <w:sz w:val="21"/>
          <w:szCs w:val="21"/>
        </w:rPr>
      </w:pPr>
      <w:r w:rsidRPr="00A23B53">
        <w:rPr>
          <w:rFonts w:ascii="仿宋" w:eastAsia="仿宋" w:hAnsi="仿宋" w:hint="eastAsia"/>
          <w:sz w:val="21"/>
          <w:szCs w:val="21"/>
        </w:rPr>
        <w:t xml:space="preserve">Fu, Chun., Luo, Chunyong, &amp; Liu, Yezhong. (2024). Is the Economy, Environment and Energy (3E) System </w:t>
      </w:r>
      <w:proofErr w:type="gramStart"/>
      <w:r w:rsidRPr="00A23B53">
        <w:rPr>
          <w:rFonts w:ascii="仿宋" w:eastAsia="仿宋" w:hAnsi="仿宋" w:hint="eastAsia"/>
          <w:sz w:val="21"/>
          <w:szCs w:val="21"/>
        </w:rPr>
        <w:t>Sustainable?—</w:t>
      </w:r>
      <w:proofErr w:type="gramEnd"/>
      <w:r w:rsidRPr="00A23B53">
        <w:rPr>
          <w:rFonts w:ascii="仿宋" w:eastAsia="仿宋" w:hAnsi="仿宋" w:hint="eastAsia"/>
          <w:sz w:val="21"/>
          <w:szCs w:val="21"/>
        </w:rPr>
        <w:t>An Analysis of the Coordination Degree of Carbon Decoupling and Energy Equity in the Yangtze River Economic Belt.</w:t>
      </w:r>
      <w:r w:rsidRPr="00A23B53">
        <w:rPr>
          <w:rFonts w:ascii="Calibri" w:eastAsia="仿宋" w:hAnsi="Calibri" w:cs="Calibri"/>
          <w:sz w:val="21"/>
          <w:szCs w:val="21"/>
        </w:rPr>
        <w:t> </w:t>
      </w:r>
      <w:r w:rsidRPr="00A23B53">
        <w:rPr>
          <w:rFonts w:ascii="仿宋" w:eastAsia="仿宋" w:hAnsi="仿宋" w:hint="eastAsia"/>
          <w:sz w:val="21"/>
          <w:szCs w:val="21"/>
        </w:rPr>
        <w:t>Sustainability,</w:t>
      </w:r>
      <w:r w:rsidRPr="00A23B53">
        <w:rPr>
          <w:rFonts w:ascii="Calibri" w:eastAsia="仿宋" w:hAnsi="Calibri" w:cs="Calibri"/>
          <w:sz w:val="21"/>
          <w:szCs w:val="21"/>
        </w:rPr>
        <w:t> </w:t>
      </w:r>
      <w:r w:rsidRPr="00A23B53">
        <w:rPr>
          <w:rFonts w:ascii="仿宋" w:eastAsia="仿宋" w:hAnsi="仿宋" w:hint="eastAsia"/>
          <w:sz w:val="21"/>
          <w:szCs w:val="21"/>
        </w:rPr>
        <w:t>16(13), 5817</w:t>
      </w:r>
    </w:p>
    <w:p w14:paraId="1D095F20" w14:textId="6FE0BC4A" w:rsidR="00E0567D" w:rsidRPr="00A23B53" w:rsidRDefault="00E0567D" w:rsidP="00E0567D">
      <w:pPr>
        <w:pStyle w:val="a9"/>
        <w:numPr>
          <w:ilvl w:val="0"/>
          <w:numId w:val="6"/>
        </w:numPr>
        <w:spacing w:after="0" w:line="400" w:lineRule="exact"/>
        <w:jc w:val="both"/>
        <w:rPr>
          <w:rFonts w:ascii="仿宋" w:eastAsia="仿宋" w:hAnsi="仿宋" w:hint="eastAsia"/>
          <w:sz w:val="21"/>
          <w:szCs w:val="21"/>
        </w:rPr>
      </w:pPr>
      <w:r w:rsidRPr="00A23B53">
        <w:rPr>
          <w:rFonts w:ascii="仿宋" w:eastAsia="仿宋" w:hAnsi="仿宋" w:hint="eastAsia"/>
          <w:sz w:val="21"/>
          <w:szCs w:val="21"/>
        </w:rPr>
        <w:t>Fu, C.; Liu, Y.; Chen, Y.; Li, F.; Huang, J.; Huang, H., Simulation of Land Use Change and Habitat Quality in the Yellow River Basin under Multiple Scenarios[J]. Water-Sui 2022, 14 (22)</w:t>
      </w:r>
    </w:p>
    <w:p w14:paraId="2BC454FC" w14:textId="58B36EFF" w:rsidR="00765884" w:rsidRPr="00A23B53" w:rsidRDefault="00765884" w:rsidP="00E0567D">
      <w:pPr>
        <w:pStyle w:val="a9"/>
        <w:numPr>
          <w:ilvl w:val="0"/>
          <w:numId w:val="6"/>
        </w:numPr>
        <w:spacing w:after="0" w:line="400" w:lineRule="exact"/>
        <w:jc w:val="both"/>
        <w:rPr>
          <w:rFonts w:ascii="仿宋" w:eastAsia="仿宋" w:hAnsi="仿宋" w:hint="eastAsia"/>
          <w:sz w:val="21"/>
          <w:szCs w:val="21"/>
        </w:rPr>
      </w:pPr>
      <w:r w:rsidRPr="00A23B53">
        <w:rPr>
          <w:rFonts w:ascii="仿宋" w:eastAsia="仿宋" w:hAnsi="仿宋" w:hint="eastAsia"/>
          <w:sz w:val="21"/>
          <w:szCs w:val="21"/>
        </w:rPr>
        <w:t xml:space="preserve">Liu, Yezhong, Fu, Chun*, Huang, Huimin., Zheng, Shuchen., and Tu, Xiaoqiang. 2024. “Response of Ecosystem Services to Land Use–Land Cover Change in Poyang Lake Basin, China, under Multiple Scenarios”. Journal of Water Resources Planning and Management, 150(8), 05024007. </w:t>
      </w:r>
      <w:hyperlink r:id="rId9" w:history="1">
        <w:r w:rsidRPr="00A23B53">
          <w:rPr>
            <w:rStyle w:val="af"/>
            <w:rFonts w:ascii="仿宋" w:eastAsia="仿宋" w:hAnsi="仿宋" w:hint="eastAsia"/>
            <w:sz w:val="21"/>
            <w:szCs w:val="21"/>
          </w:rPr>
          <w:t>https://doi.org/10.1061/jwrmd5.Wreng-6386</w:t>
        </w:r>
      </w:hyperlink>
      <w:r w:rsidRPr="00A23B53">
        <w:rPr>
          <w:rFonts w:ascii="仿宋" w:eastAsia="仿宋" w:hAnsi="仿宋" w:hint="eastAsia"/>
          <w:sz w:val="21"/>
          <w:szCs w:val="21"/>
        </w:rPr>
        <w:t>.</w:t>
      </w:r>
    </w:p>
    <w:p w14:paraId="21B78203" w14:textId="036304E6" w:rsidR="00685981" w:rsidRPr="00A23B53" w:rsidRDefault="00765884" w:rsidP="00A736A5">
      <w:pPr>
        <w:pStyle w:val="a9"/>
        <w:numPr>
          <w:ilvl w:val="0"/>
          <w:numId w:val="6"/>
        </w:numPr>
        <w:spacing w:before="235" w:after="0"/>
        <w:jc w:val="both"/>
        <w:outlineLvl w:val="1"/>
        <w:rPr>
          <w:rFonts w:ascii="仿宋" w:eastAsia="仿宋" w:hAnsi="仿宋" w:hint="eastAsia"/>
          <w:b/>
          <w:bCs/>
          <w:spacing w:val="-7"/>
          <w:sz w:val="21"/>
          <w:szCs w:val="21"/>
        </w:rPr>
      </w:pPr>
      <w:r w:rsidRPr="00A23B53">
        <w:rPr>
          <w:rFonts w:ascii="仿宋" w:eastAsia="仿宋" w:hAnsi="仿宋" w:hint="eastAsia"/>
          <w:sz w:val="21"/>
          <w:szCs w:val="21"/>
        </w:rPr>
        <w:t xml:space="preserve">Fu, Chun, Liu, Yezhong*, Li, Fan, Huang, Huimin, and Zheng, S. 2024. “Response of hydrological ecosystem services to land-use change and risk assessment in Jiangxi Province, China”. Heliyon, 10(3), e24911. </w:t>
      </w:r>
      <w:hyperlink r:id="rId10" w:history="1">
        <w:r w:rsidR="00A23B53" w:rsidRPr="00A23B53">
          <w:rPr>
            <w:rStyle w:val="af"/>
            <w:rFonts w:ascii="仿宋" w:eastAsia="仿宋" w:hAnsi="仿宋" w:hint="eastAsia"/>
            <w:sz w:val="21"/>
            <w:szCs w:val="21"/>
          </w:rPr>
          <w:t>https://doi.org/https://doi.org/10.1016/j.heliyon.2024.e24911</w:t>
        </w:r>
      </w:hyperlink>
      <w:r w:rsidR="00A946FE" w:rsidRPr="00A23B53">
        <w:rPr>
          <w:rFonts w:ascii="仿宋" w:eastAsia="仿宋" w:hAnsi="仿宋" w:hint="eastAsia"/>
          <w:sz w:val="21"/>
          <w:szCs w:val="21"/>
        </w:rPr>
        <w:t>.</w:t>
      </w:r>
    </w:p>
    <w:p w14:paraId="0797DDC9" w14:textId="77777777" w:rsidR="00A23B53" w:rsidRPr="00A23B53" w:rsidRDefault="00A23B53" w:rsidP="00A23B53">
      <w:pPr>
        <w:pStyle w:val="a9"/>
        <w:spacing w:before="235" w:after="0"/>
        <w:ind w:left="540"/>
        <w:jc w:val="both"/>
        <w:outlineLvl w:val="1"/>
        <w:rPr>
          <w:rFonts w:ascii="仿宋" w:eastAsia="仿宋" w:hAnsi="仿宋" w:hint="eastAsia"/>
          <w:b/>
          <w:bCs/>
          <w:spacing w:val="-7"/>
          <w:sz w:val="21"/>
          <w:szCs w:val="21"/>
        </w:rPr>
      </w:pPr>
    </w:p>
    <w:p w14:paraId="3BACFDF1" w14:textId="77777777" w:rsidR="00850F1B" w:rsidRPr="00913FA9" w:rsidRDefault="00850F1B" w:rsidP="006E0C17">
      <w:pPr>
        <w:rPr>
          <w:rFonts w:hint="eastAsia"/>
          <w:spacing w:val="-2"/>
        </w:rPr>
      </w:pPr>
    </w:p>
    <w:sectPr w:rsidR="00850F1B" w:rsidRPr="0091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3E3F" w14:textId="77777777" w:rsidR="002A2DB6" w:rsidRDefault="002A2DB6" w:rsidP="001E668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1A59623" w14:textId="77777777" w:rsidR="002A2DB6" w:rsidRDefault="002A2DB6" w:rsidP="001E668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9164" w14:textId="77777777" w:rsidR="002A2DB6" w:rsidRDefault="002A2DB6" w:rsidP="001E668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C991DA7" w14:textId="77777777" w:rsidR="002A2DB6" w:rsidRDefault="002A2DB6" w:rsidP="001E668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57EE"/>
    <w:multiLevelType w:val="multilevel"/>
    <w:tmpl w:val="012057EE"/>
    <w:lvl w:ilvl="0">
      <w:start w:val="1"/>
      <w:numFmt w:val="decimal"/>
      <w:lvlText w:val="%1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98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082D510E"/>
    <w:multiLevelType w:val="hybridMultilevel"/>
    <w:tmpl w:val="C1E2B426"/>
    <w:lvl w:ilvl="0" w:tplc="414A1526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1573334"/>
    <w:multiLevelType w:val="hybridMultilevel"/>
    <w:tmpl w:val="1D163596"/>
    <w:lvl w:ilvl="0" w:tplc="F5124948">
      <w:start w:val="1"/>
      <w:numFmt w:val="decimal"/>
      <w:lvlText w:val="(%1)"/>
      <w:lvlJc w:val="left"/>
      <w:pPr>
        <w:ind w:left="540" w:hanging="54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5F20161"/>
    <w:multiLevelType w:val="multilevel"/>
    <w:tmpl w:val="25F20161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420"/>
        </w:tabs>
        <w:ind w:left="126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420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420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420"/>
        </w:tabs>
        <w:ind w:left="2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420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420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420"/>
        </w:tabs>
        <w:ind w:left="378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E24310"/>
    <w:multiLevelType w:val="hybridMultilevel"/>
    <w:tmpl w:val="FBCE98BE"/>
    <w:lvl w:ilvl="0" w:tplc="896A3D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55E4C18"/>
    <w:multiLevelType w:val="singleLevel"/>
    <w:tmpl w:val="555E4C1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561059D"/>
    <w:multiLevelType w:val="hybridMultilevel"/>
    <w:tmpl w:val="94F612A4"/>
    <w:lvl w:ilvl="0" w:tplc="A738BE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F3A2FF1"/>
    <w:multiLevelType w:val="hybridMultilevel"/>
    <w:tmpl w:val="DA4874DA"/>
    <w:lvl w:ilvl="0" w:tplc="55F4C49A">
      <w:start w:val="1"/>
      <w:numFmt w:val="decimal"/>
      <w:lvlText w:val="(%1)"/>
      <w:lvlJc w:val="left"/>
      <w:pPr>
        <w:ind w:left="540" w:hanging="54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28482390">
    <w:abstractNumId w:val="1"/>
  </w:num>
  <w:num w:numId="2" w16cid:durableId="1309047678">
    <w:abstractNumId w:val="3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420"/>
          </w:tabs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420"/>
          </w:tabs>
          <w:ind w:left="1260" w:hanging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420"/>
          </w:tabs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420"/>
          </w:tabs>
          <w:ind w:left="2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420"/>
          </w:tabs>
          <w:ind w:left="2520" w:hanging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4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420"/>
          </w:tabs>
          <w:ind w:left="33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420"/>
          </w:tabs>
          <w:ind w:left="3780" w:hanging="5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89800305">
    <w:abstractNumId w:val="2"/>
  </w:num>
  <w:num w:numId="4" w16cid:durableId="430055599">
    <w:abstractNumId w:val="0"/>
  </w:num>
  <w:num w:numId="5" w16cid:durableId="1109394443">
    <w:abstractNumId w:val="4"/>
  </w:num>
  <w:num w:numId="6" w16cid:durableId="1779526496">
    <w:abstractNumId w:val="7"/>
  </w:num>
  <w:num w:numId="7" w16cid:durableId="974022307">
    <w:abstractNumId w:val="6"/>
  </w:num>
  <w:num w:numId="8" w16cid:durableId="1536119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9"/>
    <w:rsid w:val="00012E16"/>
    <w:rsid w:val="00141882"/>
    <w:rsid w:val="001E668D"/>
    <w:rsid w:val="0020036B"/>
    <w:rsid w:val="002671AD"/>
    <w:rsid w:val="00271DE1"/>
    <w:rsid w:val="002A2DB6"/>
    <w:rsid w:val="0048392A"/>
    <w:rsid w:val="004D620D"/>
    <w:rsid w:val="00533C4F"/>
    <w:rsid w:val="006069D1"/>
    <w:rsid w:val="00685981"/>
    <w:rsid w:val="006E0C17"/>
    <w:rsid w:val="00765884"/>
    <w:rsid w:val="00771D21"/>
    <w:rsid w:val="00850F1B"/>
    <w:rsid w:val="008D3CB4"/>
    <w:rsid w:val="00913FA9"/>
    <w:rsid w:val="009B0A25"/>
    <w:rsid w:val="009D33C2"/>
    <w:rsid w:val="00A04D0F"/>
    <w:rsid w:val="00A23B53"/>
    <w:rsid w:val="00A946FE"/>
    <w:rsid w:val="00A96CB3"/>
    <w:rsid w:val="00AA5AF9"/>
    <w:rsid w:val="00B46771"/>
    <w:rsid w:val="00C37EA5"/>
    <w:rsid w:val="00C45CD3"/>
    <w:rsid w:val="00C7105F"/>
    <w:rsid w:val="00D3343A"/>
    <w:rsid w:val="00D3795E"/>
    <w:rsid w:val="00E0567D"/>
    <w:rsid w:val="00E57B1B"/>
    <w:rsid w:val="00E65A0F"/>
    <w:rsid w:val="00E74B1D"/>
    <w:rsid w:val="00F07E0B"/>
    <w:rsid w:val="00F548E7"/>
    <w:rsid w:val="00F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5565C"/>
  <w15:chartTrackingRefBased/>
  <w15:docId w15:val="{90FF4C80-CF18-47E7-BC26-3FCDA6C2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A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A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A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A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A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A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3FA9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913FA9"/>
    <w:rPr>
      <w:b/>
      <w:bCs/>
    </w:rPr>
  </w:style>
  <w:style w:type="character" w:styleId="af">
    <w:name w:val="Hyperlink"/>
    <w:basedOn w:val="a0"/>
    <w:uiPriority w:val="99"/>
    <w:unhideWhenUsed/>
    <w:rsid w:val="00850F1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50F1B"/>
    <w:rPr>
      <w:color w:val="605E5C"/>
      <w:shd w:val="clear" w:color="auto" w:fill="E1DFDD"/>
    </w:rPr>
  </w:style>
  <w:style w:type="paragraph" w:customStyle="1" w:styleId="Af1">
    <w:name w:val="正文 A"/>
    <w:rsid w:val="00850F1B"/>
    <w:pPr>
      <w:widowControl w:val="0"/>
      <w:spacing w:after="0" w:line="240" w:lineRule="auto"/>
      <w:jc w:val="both"/>
    </w:pPr>
    <w:rPr>
      <w:rFonts w:ascii="Arial Unicode MS" w:eastAsia="Book Antiqua" w:hAnsi="Arial Unicode MS" w:cs="Arial Unicode MS"/>
      <w:color w:val="000000"/>
      <w:sz w:val="21"/>
      <w:szCs w:val="21"/>
      <w:u w:color="000000"/>
      <w14:ligatures w14:val="none"/>
    </w:rPr>
  </w:style>
  <w:style w:type="paragraph" w:styleId="af2">
    <w:name w:val="Normal (Web)"/>
    <w:basedOn w:val="a"/>
    <w:uiPriority w:val="99"/>
    <w:semiHidden/>
    <w:unhideWhenUsed/>
    <w:rsid w:val="00533C4F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f3">
    <w:name w:val="Body Text"/>
    <w:basedOn w:val="a"/>
    <w:link w:val="af4"/>
    <w:semiHidden/>
    <w:unhideWhenUsed/>
    <w:qFormat/>
    <w:rsid w:val="00F07E0B"/>
    <w:pPr>
      <w:widowControl/>
      <w:kinsoku w:val="0"/>
      <w:autoSpaceDE w:val="0"/>
      <w:autoSpaceDN w:val="0"/>
      <w:adjustRightInd w:val="0"/>
      <w:snapToGrid w:val="0"/>
      <w:spacing w:line="240" w:lineRule="auto"/>
    </w:pPr>
    <w:rPr>
      <w:rFonts w:ascii="仿宋" w:eastAsia="仿宋" w:hAnsi="仿宋" w:cs="仿宋"/>
      <w:noProof/>
      <w:color w:val="000000"/>
      <w:kern w:val="0"/>
      <w:sz w:val="21"/>
      <w:szCs w:val="21"/>
      <w:lang w:eastAsia="en-US"/>
      <w14:ligatures w14:val="none"/>
    </w:rPr>
  </w:style>
  <w:style w:type="character" w:customStyle="1" w:styleId="af4">
    <w:name w:val="正文文本 字符"/>
    <w:basedOn w:val="a0"/>
    <w:link w:val="af3"/>
    <w:semiHidden/>
    <w:rsid w:val="00F07E0B"/>
    <w:rPr>
      <w:rFonts w:ascii="仿宋" w:eastAsia="仿宋" w:hAnsi="仿宋" w:cs="仿宋"/>
      <w:noProof/>
      <w:color w:val="000000"/>
      <w:kern w:val="0"/>
      <w:sz w:val="21"/>
      <w:szCs w:val="21"/>
      <w:lang w:eastAsia="en-US"/>
      <w14:ligatures w14:val="none"/>
    </w:rPr>
  </w:style>
  <w:style w:type="paragraph" w:styleId="af5">
    <w:name w:val="header"/>
    <w:basedOn w:val="a"/>
    <w:link w:val="af6"/>
    <w:uiPriority w:val="99"/>
    <w:unhideWhenUsed/>
    <w:rsid w:val="001E668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1E668D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1E668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1E6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fu@nc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https://doi.org/10.1016/j.heliyon.2024.e24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61/jwrmd5.Wreng-638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yu</dc:creator>
  <cp:keywords/>
  <dc:description/>
  <cp:lastModifiedBy>yu yu</cp:lastModifiedBy>
  <cp:revision>6</cp:revision>
  <dcterms:created xsi:type="dcterms:W3CDTF">2025-02-20T07:52:00Z</dcterms:created>
  <dcterms:modified xsi:type="dcterms:W3CDTF">2025-02-20T09:36:00Z</dcterms:modified>
</cp:coreProperties>
</file>