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09572">
      <w:pPr>
        <w:snapToGrid w:val="0"/>
        <w:spacing w:after="312" w:afterLines="100" w:line="288" w:lineRule="auto"/>
        <w:jc w:val="center"/>
        <w:rPr>
          <w:rFonts w:ascii="仿宋" w:hAnsi="仿宋" w:cs="仿宋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4159250</wp:posOffset>
                </wp:positionH>
                <wp:positionV relativeFrom="paragraph">
                  <wp:posOffset>165100</wp:posOffset>
                </wp:positionV>
                <wp:extent cx="1042670" cy="1312545"/>
                <wp:effectExtent l="0" t="0" r="24130" b="209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1312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299D2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drawing>
                                <wp:inline distT="0" distB="0" distL="0" distR="0">
                                  <wp:extent cx="901700" cy="1268730"/>
                                  <wp:effectExtent l="0" t="0" r="0" b="7620"/>
                                  <wp:docPr id="1427399662" name="图片 1" descr="说明: WXG 蓝底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7399662" name="图片 1" descr="说明: WXG 蓝底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764" cy="1270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5pt;margin-top:13pt;height:103.35pt;width:82.1pt;z-index:251659264;mso-width-relative:page;mso-height-relative:page;" fillcolor="#FFFFFF [3201]" filled="t" stroked="t" coordsize="21600,21600" o:gfxdata="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HbXAvNcA&#10;AAAKAQAADwAAAAAAAAABACAAAAAiAAAAZHJzL2Rvd25yZXYueG1sUEsBAhQAFAAAAAgAh07iQGij&#10;1EZZAgAAuA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34299D2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drawing>
                          <wp:inline distT="0" distB="0" distL="0" distR="0">
                            <wp:extent cx="901700" cy="1268730"/>
                            <wp:effectExtent l="0" t="0" r="0" b="7620"/>
                            <wp:docPr id="1427399662" name="图片 1" descr="说明: WXG 蓝底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7399662" name="图片 1" descr="说明: WXG 蓝底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2764" cy="1270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</w:rPr>
        <w:t>王信刚</w:t>
      </w:r>
    </w:p>
    <w:p w14:paraId="7D879399">
      <w:pPr>
        <w:adjustRightInd w:val="0"/>
        <w:snapToGrid w:val="0"/>
        <w:spacing w:before="156" w:beforeLines="50" w:line="288" w:lineRule="auto"/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性别：男            导师类型：博导/硕导</w:t>
      </w:r>
    </w:p>
    <w:p w14:paraId="19C1D175">
      <w:pPr>
        <w:adjustRightInd w:val="0"/>
        <w:snapToGrid w:val="0"/>
        <w:spacing w:before="156" w:beforeLines="50" w:line="288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职称：教授          学科方向：土木工程材料</w:t>
      </w:r>
    </w:p>
    <w:p w14:paraId="6FF70D45">
      <w:pPr>
        <w:adjustRightInd w:val="0"/>
        <w:snapToGrid w:val="0"/>
        <w:spacing w:before="156" w:beforeLines="50" w:line="288" w:lineRule="auto"/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学历：博士   </w:t>
      </w:r>
      <w:r>
        <w:rPr>
          <w:rFonts w:ascii="仿宋" w:hAnsi="仿宋" w:eastAsia="仿宋" w:cs="仿宋"/>
          <w:b/>
          <w:bCs/>
          <w:sz w:val="24"/>
          <w:szCs w:val="24"/>
        </w:rPr>
        <w:t xml:space="preserve">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电子邮件：wxglab</w:t>
      </w:r>
      <w:r>
        <w:rPr>
          <w:rFonts w:ascii="仿宋" w:hAnsi="仿宋" w:eastAsia="仿宋" w:cs="仿宋"/>
          <w:b/>
          <w:bCs/>
          <w:sz w:val="24"/>
          <w:szCs w:val="24"/>
        </w:rPr>
        <w:t>@126.com</w:t>
      </w:r>
    </w:p>
    <w:p w14:paraId="72182252">
      <w:pPr>
        <w:snapToGrid w:val="0"/>
        <w:spacing w:before="156" w:beforeLines="50" w:line="288" w:lineRule="auto"/>
        <w:rPr>
          <w:rFonts w:ascii="仿宋" w:hAnsi="仿宋" w:eastAsia="仿宋" w:cs="仿宋"/>
          <w:b/>
          <w:bCs/>
          <w:sz w:val="24"/>
          <w:szCs w:val="24"/>
        </w:rPr>
      </w:pPr>
    </w:p>
    <w:p w14:paraId="71235D7B">
      <w:pPr>
        <w:snapToGrid w:val="0"/>
        <w:spacing w:before="156" w:beforeLines="50" w:line="288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个人简介：</w:t>
      </w:r>
    </w:p>
    <w:p w14:paraId="0272382B">
      <w:pPr>
        <w:snapToGrid w:val="0"/>
        <w:spacing w:line="288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三级教授，博士，博士生导师，赣江特聘教授，学院教授委员会主任，绿色先进建筑材料与技术研究中心主任，土木工程材料实验室主任。</w:t>
      </w:r>
      <w:r>
        <w:rPr>
          <w:rFonts w:hint="eastAsia" w:ascii="仿宋" w:hAnsi="仿宋" w:eastAsia="仿宋" w:cs="仿宋"/>
          <w:szCs w:val="21"/>
          <w:lang w:val="en-US" w:eastAsia="zh-CN"/>
        </w:rPr>
        <w:t>省部级人才</w:t>
      </w:r>
      <w:r>
        <w:rPr>
          <w:rFonts w:hint="eastAsia" w:ascii="仿宋" w:hAnsi="仿宋" w:eastAsia="仿宋" w:cs="仿宋"/>
          <w:szCs w:val="21"/>
        </w:rPr>
        <w:t>，江西省优秀硕士学位论文指导老师，南昌大学首届十大优秀研究生导师，英国伦敦大学学院（</w:t>
      </w:r>
      <w:r>
        <w:rPr>
          <w:rFonts w:ascii="仿宋" w:hAnsi="仿宋" w:eastAsia="仿宋" w:cs="仿宋"/>
          <w:szCs w:val="21"/>
        </w:rPr>
        <w:t>UCL）高级访问学者，国家科学技术奖励评审专家，江西省散预协专家委员会副主任委员，南昌大学学报（工科版）编委。</w:t>
      </w:r>
    </w:p>
    <w:p w14:paraId="10F90EA5">
      <w:pPr>
        <w:snapToGrid w:val="0"/>
        <w:spacing w:line="288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主要从事绿色先进土木工程材料方面的教研工作，特别是在土木工程材料的绿色低碳化、智能功能化、超高性能化方面开展创新研究，多项研究成果在企业成功转化和在工程成功应用，产生了显著的经济和社会效益。</w:t>
      </w:r>
    </w:p>
    <w:p w14:paraId="3B753588">
      <w:pPr>
        <w:snapToGrid w:val="0"/>
        <w:spacing w:line="288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作为项目负责人，主持承担国家自然科学基金项目</w:t>
      </w:r>
      <w:r>
        <w:rPr>
          <w:rFonts w:ascii="仿宋" w:hAnsi="仿宋" w:eastAsia="仿宋" w:cs="仿宋"/>
          <w:szCs w:val="21"/>
        </w:rPr>
        <w:t>4项、江西省科技厅科技项目8项在内的纵向科研项目20余项，主持承担工程技术开发应用项目30余项，主持成果获2021年度江西省科学技术进步奖三等奖1项；作为科研骨干，参与完成国家科技支</w:t>
      </w:r>
      <w:bookmarkStart w:id="0" w:name="_GoBack"/>
      <w:bookmarkEnd w:id="0"/>
      <w:r>
        <w:rPr>
          <w:rFonts w:ascii="仿宋" w:hAnsi="仿宋" w:eastAsia="仿宋" w:cs="仿宋"/>
          <w:szCs w:val="21"/>
        </w:rPr>
        <w:t>撑计划1项、国家863计划项目1项和国家973计划项目子课题1项，获省部级以上科技奖励3项。</w:t>
      </w:r>
    </w:p>
    <w:p w14:paraId="4DE94E0A">
      <w:pPr>
        <w:snapToGrid w:val="0"/>
        <w:spacing w:line="288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以第一作者或通讯作者发表论文</w:t>
      </w:r>
      <w:r>
        <w:rPr>
          <w:rFonts w:ascii="仿宋" w:hAnsi="仿宋" w:eastAsia="仿宋" w:cs="仿宋"/>
          <w:szCs w:val="21"/>
        </w:rPr>
        <w:t>120余篇，在国际权威期刊发表高水平论文80余篇；以第一发明人申请国家发明专利40余项，授权国家发明专利20项；主持完成江西省高等学校省级教改课题1项，指导的研究生四十余人次获得江西省优秀硕士学位论文、江西省研究生创新专项资金项目、国家研究生奖学金和江西省政府研究生奖学金，主持成果获2022年度南昌大学教学成果奖（研究生层次）一等奖1项。</w:t>
      </w:r>
    </w:p>
    <w:p w14:paraId="5A807364">
      <w:pPr>
        <w:snapToGrid w:val="0"/>
        <w:spacing w:line="288" w:lineRule="auto"/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讲授课程：</w:t>
      </w:r>
    </w:p>
    <w:p w14:paraId="749348EF">
      <w:pPr>
        <w:snapToGrid w:val="0"/>
        <w:spacing w:line="288" w:lineRule="auto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主讲本科生《土木工程材料》、《绿色建筑材料》课程和研究生《绿色先进建筑材料》、《水泥基材料微纳结构与性能测试分析》课程</w:t>
      </w:r>
      <w:r>
        <w:rPr>
          <w:rFonts w:ascii="仿宋" w:hAnsi="仿宋" w:eastAsia="仿宋" w:cs="仿宋"/>
          <w:szCs w:val="21"/>
        </w:rPr>
        <w:t>。</w:t>
      </w:r>
    </w:p>
    <w:p w14:paraId="40BEAEF4">
      <w:pPr>
        <w:snapToGrid w:val="0"/>
        <w:spacing w:line="288" w:lineRule="auto"/>
        <w:rPr>
          <w:rFonts w:ascii="仿宋" w:hAnsi="仿宋" w:eastAsia="仿宋" w:cs="仿宋"/>
          <w:color w:val="FF0000"/>
          <w:szCs w:val="21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科研项目/课题（限5项选填）：</w:t>
      </w:r>
    </w:p>
    <w:p w14:paraId="2F5D873E"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[1] 国家自然科学基金，基于荧光标记自修复微胶囊的水泥基材料微裂纹检测与愈合机理，主持</w:t>
      </w:r>
    </w:p>
    <w:p w14:paraId="7FA5910C"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[2] 国家自然科学基金，水泥基混杂自修复微胶囊的时效调控与二次修复机制，主持</w:t>
      </w:r>
    </w:p>
    <w:p w14:paraId="6339B6B9"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[3] 国家自然科学基金，树脂导光水泥基材料的界面特性及模拟服役环境中劣化机理研究，主持</w:t>
      </w:r>
    </w:p>
    <w:p w14:paraId="0E8C1681"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[4] 国家自然科学基金，发光透光水泥基材料的光学特性及微观机理，主持</w:t>
      </w:r>
    </w:p>
    <w:p w14:paraId="23EC396E"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[5] 江西省科技厅，江西省人才项目，主持</w:t>
      </w:r>
    </w:p>
    <w:p w14:paraId="524B4DCA"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论文专著（限10项选填）：  </w:t>
      </w:r>
    </w:p>
    <w:p w14:paraId="6C7D7065"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[1] Xingang Wang</w:t>
      </w:r>
      <w:r>
        <w:rPr>
          <w:rFonts w:ascii="仿宋" w:hAnsi="仿宋" w:eastAsia="仿宋" w:cs="仿宋"/>
          <w:szCs w:val="21"/>
          <w:vertAlign w:val="superscript"/>
        </w:rPr>
        <w:t>*</w:t>
      </w:r>
      <w:r>
        <w:rPr>
          <w:rFonts w:ascii="仿宋" w:hAnsi="仿宋" w:eastAsia="仿宋" w:cs="仿宋"/>
          <w:szCs w:val="21"/>
        </w:rPr>
        <w:t>，Jielu Zhu，Fubing Zou，Naigen Zhou，Yiwei Zhong．CaAl-NO2 LDH hybrid self-healing microcapsules with chloride triggering: Towards synergistic corrosion resistance[J]．Composites Part B-Engineering，2023，264：110902．（SCI）</w:t>
      </w:r>
    </w:p>
    <w:p w14:paraId="7B0E3774"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[2] Xingang Wang, Yong Yu, Fubing Zou</w:t>
      </w:r>
      <w:r>
        <w:rPr>
          <w:rFonts w:ascii="仿宋" w:hAnsi="仿宋" w:eastAsia="仿宋" w:cs="仿宋"/>
          <w:szCs w:val="21"/>
          <w:vertAlign w:val="superscript"/>
        </w:rPr>
        <w:t>*</w:t>
      </w:r>
      <w:r>
        <w:rPr>
          <w:rFonts w:ascii="仿宋" w:hAnsi="仿宋" w:eastAsia="仿宋" w:cs="仿宋"/>
          <w:szCs w:val="21"/>
        </w:rPr>
        <w:t>, Hongyun Luo, Zihao Zhou, Jielu Zhu, Guanjun Guo, Yiwei Zhong．High performance C-A-S-H seeds from fly ash-carbide slag for activating lithium slag towards a low carbon binder[J]．Journal of Environmental Management，2023，345：118658．（SCI）</w:t>
      </w:r>
    </w:p>
    <w:p w14:paraId="3F5350CA"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[3] Xingang Wang</w:t>
      </w:r>
      <w:r>
        <w:rPr>
          <w:rFonts w:ascii="仿宋" w:hAnsi="仿宋" w:eastAsia="仿宋" w:cs="仿宋"/>
          <w:szCs w:val="21"/>
          <w:vertAlign w:val="superscript"/>
        </w:rPr>
        <w:t>*</w:t>
      </w:r>
      <w:r>
        <w:rPr>
          <w:rFonts w:ascii="仿宋" w:hAnsi="仿宋" w:eastAsia="仿宋" w:cs="仿宋"/>
          <w:szCs w:val="21"/>
        </w:rPr>
        <w:t>，Jielu Zhu，Fubing Zou，Naigen Zhou，Yujie Li，Weiyu Lei．Ca-Al LDH hybrid self-healing microcapsules for corrosion protection[J]．Chemical Engineering Journal，2022，447：137125．（SCI）</w:t>
      </w:r>
    </w:p>
    <w:p w14:paraId="3B12B390"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[4] Xingang Wang</w:t>
      </w:r>
      <w:r>
        <w:rPr>
          <w:rFonts w:ascii="仿宋" w:hAnsi="仿宋" w:eastAsia="仿宋" w:cs="仿宋"/>
          <w:szCs w:val="21"/>
          <w:vertAlign w:val="superscript"/>
        </w:rPr>
        <w:t>*</w:t>
      </w:r>
      <w:r>
        <w:rPr>
          <w:rFonts w:ascii="仿宋" w:hAnsi="仿宋" w:eastAsia="仿宋" w:cs="仿宋"/>
          <w:szCs w:val="21"/>
        </w:rPr>
        <w:t>，Yujie Li，Chenyang Zhang，Xuanzhe Zhang．Visualization and quantification of self-healing behaviors of microcracks in cement-based materials incorporating fluorescence-labeled self-healing microcapsules[J]．Construction and Building Materials</w:t>
      </w:r>
      <w:r>
        <w:rPr>
          <w:rFonts w:hint="eastAsia" w:ascii="仿宋" w:hAnsi="仿宋" w:eastAsia="仿宋" w:cs="仿宋"/>
          <w:szCs w:val="21"/>
        </w:rPr>
        <w:t>，</w:t>
      </w:r>
      <w:r>
        <w:rPr>
          <w:rFonts w:ascii="仿宋" w:hAnsi="仿宋" w:eastAsia="仿宋" w:cs="仿宋"/>
          <w:szCs w:val="21"/>
        </w:rPr>
        <w:t>2022，315：125668．（SCI）</w:t>
      </w:r>
    </w:p>
    <w:p w14:paraId="177D7E08"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[5] Jielu Zhu, Xingang Wang</w:t>
      </w:r>
      <w:r>
        <w:rPr>
          <w:rFonts w:ascii="仿宋" w:hAnsi="仿宋" w:eastAsia="仿宋" w:cs="仿宋"/>
          <w:szCs w:val="21"/>
          <w:vertAlign w:val="superscript"/>
        </w:rPr>
        <w:t>*</w:t>
      </w:r>
      <w:r>
        <w:rPr>
          <w:rFonts w:ascii="仿宋" w:hAnsi="仿宋" w:eastAsia="仿宋" w:cs="仿宋"/>
          <w:szCs w:val="21"/>
        </w:rPr>
        <w:t>, Xingjing Wang, Yuxuan Lei, Yujie Li．Carbonyl iron powder/ethyl cellulose hybrid wall microcapsules encapsulating epoxy resin for wave absorption and self-healing[J]．Composites Science and Technology，2021，214：108960．（SCI）</w:t>
      </w:r>
    </w:p>
    <w:p w14:paraId="06E061C0"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[6] Xingang Wang</w:t>
      </w:r>
      <w:r>
        <w:rPr>
          <w:rFonts w:ascii="仿宋" w:hAnsi="仿宋" w:eastAsia="仿宋" w:cs="仿宋"/>
          <w:szCs w:val="21"/>
          <w:vertAlign w:val="superscript"/>
        </w:rPr>
        <w:t>*</w:t>
      </w:r>
      <w:r>
        <w:rPr>
          <w:rFonts w:ascii="仿宋" w:hAnsi="仿宋" w:eastAsia="仿宋" w:cs="仿宋"/>
          <w:szCs w:val="21"/>
        </w:rPr>
        <w:t>，Chenyang Zhang，Kai Wang，Yuqing Huang，Zhongfa Chen．Highly efficient photothermal conversion capric acid phase change microcapsule: Silicon carbide modified melamine urea formaldehyde[J]．Journal of Colloid and Interface Science，2021，582：30-40．（SCI）</w:t>
      </w:r>
    </w:p>
    <w:p w14:paraId="589F0E48"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[7] Xingang Wang</w:t>
      </w:r>
      <w:r>
        <w:rPr>
          <w:rFonts w:ascii="仿宋" w:hAnsi="仿宋" w:eastAsia="仿宋" w:cs="仿宋"/>
          <w:szCs w:val="21"/>
          <w:vertAlign w:val="superscript"/>
        </w:rPr>
        <w:t>*</w:t>
      </w:r>
      <w:r>
        <w:rPr>
          <w:rFonts w:ascii="仿宋" w:hAnsi="仿宋" w:eastAsia="仿宋" w:cs="仿宋"/>
          <w:szCs w:val="21"/>
        </w:rPr>
        <w:t>，Yuxuan Lei，Zhongfa Chen，Weiyu Lei．Sepiolite-zeolite powder doped with capric acid phase change microcapsules for temperature-humidity control[J]．Journal of Colloid and Interface Science，2021，595：25-34．（SCI）</w:t>
      </w:r>
    </w:p>
    <w:p w14:paraId="0226DBE7"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[8] Xingang Wang</w:t>
      </w:r>
      <w:r>
        <w:rPr>
          <w:rFonts w:ascii="仿宋" w:hAnsi="仿宋" w:eastAsia="仿宋" w:cs="仿宋"/>
          <w:szCs w:val="21"/>
          <w:vertAlign w:val="superscript"/>
        </w:rPr>
        <w:t>*</w:t>
      </w:r>
      <w:r>
        <w:rPr>
          <w:rFonts w:ascii="仿宋" w:hAnsi="仿宋" w:eastAsia="仿宋" w:cs="仿宋"/>
          <w:szCs w:val="21"/>
        </w:rPr>
        <w:t>，Zhongfa Chen，Wei Xu，Xingjing Wang．Fluorescence labelling and self-healing microcapsules for detection and repair of surface microcracks in cement matrix[J]．Composites Part B：Engineering，2020，184：107744．（SCI）</w:t>
      </w:r>
    </w:p>
    <w:p w14:paraId="5E0B5210"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[9] 王信刚，谢昱昊，徐伟．一种自修复微胶囊及其制备方法[P]．ZL 201810081559.X，2021年1月5日．</w:t>
      </w:r>
    </w:p>
    <w:p w14:paraId="094BC5C9">
      <w:pPr>
        <w:snapToGrid w:val="0"/>
        <w:spacing w:line="288" w:lineRule="auto"/>
        <w:rPr>
          <w:rFonts w:ascii="仿宋" w:hAnsi="仿宋" w:eastAsia="仿宋" w:cs="仿宋"/>
          <w:szCs w:val="21"/>
        </w:rPr>
      </w:pPr>
      <w:r>
        <w:rPr>
          <w:rFonts w:ascii="仿宋" w:hAnsi="仿宋" w:eastAsia="仿宋" w:cs="仿宋"/>
          <w:szCs w:val="21"/>
        </w:rPr>
        <w:t>[10]王信刚，吴链，黄昱清．一种高阻尼混凝土复合材料及其制备方法[P]．ZL 201810112848.1，2020年9月22日．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9A1077"/>
    <w:multiLevelType w:val="multilevel"/>
    <w:tmpl w:val="3C9A1077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2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C366BB1"/>
    <w:multiLevelType w:val="multilevel"/>
    <w:tmpl w:val="4C366BB1"/>
    <w:lvl w:ilvl="0" w:tentative="0">
      <w:start w:val="1"/>
      <w:numFmt w:val="bullet"/>
      <w:pStyle w:val="13"/>
      <w:lvlText w:val=""/>
      <w:lvlJc w:val="left"/>
      <w:pPr>
        <w:tabs>
          <w:tab w:val="left" w:pos="605"/>
        </w:tabs>
        <w:ind w:left="605" w:hanging="245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tabs>
          <w:tab w:val="left" w:pos="1325"/>
        </w:tabs>
        <w:ind w:left="1325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tabs>
          <w:tab w:val="left" w:pos="2045"/>
        </w:tabs>
        <w:ind w:left="2045" w:righ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65"/>
        </w:tabs>
        <w:ind w:left="2765" w:righ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485"/>
        </w:tabs>
        <w:ind w:left="3485" w:righ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05"/>
        </w:tabs>
        <w:ind w:left="4205" w:righ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25"/>
        </w:tabs>
        <w:ind w:left="4925" w:righ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45"/>
        </w:tabs>
        <w:ind w:left="5645" w:righ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65"/>
        </w:tabs>
        <w:ind w:left="6365" w:righ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iZTNiNjA5M2UyNjMwYWUzNTQzNDQzMzczODhmZWIifQ=="/>
    <w:docVar w:name="KSO_WPS_MARK_KEY" w:val="2985659b-a962-45e2-af85-8e4fb57d19c7"/>
  </w:docVars>
  <w:rsids>
    <w:rsidRoot w:val="00796D71"/>
    <w:rsid w:val="00015E82"/>
    <w:rsid w:val="000369FD"/>
    <w:rsid w:val="00055545"/>
    <w:rsid w:val="0008087D"/>
    <w:rsid w:val="000B0601"/>
    <w:rsid w:val="000C234E"/>
    <w:rsid w:val="000C29E2"/>
    <w:rsid w:val="0012074B"/>
    <w:rsid w:val="00156777"/>
    <w:rsid w:val="00187424"/>
    <w:rsid w:val="001926C5"/>
    <w:rsid w:val="00196B5C"/>
    <w:rsid w:val="001B1DAF"/>
    <w:rsid w:val="001E2356"/>
    <w:rsid w:val="002231D7"/>
    <w:rsid w:val="00223940"/>
    <w:rsid w:val="002352CA"/>
    <w:rsid w:val="00281CDE"/>
    <w:rsid w:val="002A5CB8"/>
    <w:rsid w:val="002A5FE9"/>
    <w:rsid w:val="002A668D"/>
    <w:rsid w:val="002C3CD6"/>
    <w:rsid w:val="002E0BCC"/>
    <w:rsid w:val="002F1B64"/>
    <w:rsid w:val="002F6662"/>
    <w:rsid w:val="002F70AD"/>
    <w:rsid w:val="00317D8D"/>
    <w:rsid w:val="00344827"/>
    <w:rsid w:val="00364F0F"/>
    <w:rsid w:val="00367E41"/>
    <w:rsid w:val="00391C8C"/>
    <w:rsid w:val="00395F8B"/>
    <w:rsid w:val="003E2573"/>
    <w:rsid w:val="003F0BA5"/>
    <w:rsid w:val="003F6221"/>
    <w:rsid w:val="0040764E"/>
    <w:rsid w:val="0042573A"/>
    <w:rsid w:val="00433285"/>
    <w:rsid w:val="00436061"/>
    <w:rsid w:val="00443C7B"/>
    <w:rsid w:val="00447034"/>
    <w:rsid w:val="004705B0"/>
    <w:rsid w:val="00472AB0"/>
    <w:rsid w:val="00497205"/>
    <w:rsid w:val="004A0D74"/>
    <w:rsid w:val="004A2E05"/>
    <w:rsid w:val="004A4A8F"/>
    <w:rsid w:val="00506399"/>
    <w:rsid w:val="00541566"/>
    <w:rsid w:val="00545C6F"/>
    <w:rsid w:val="00551D11"/>
    <w:rsid w:val="005575BC"/>
    <w:rsid w:val="00573B93"/>
    <w:rsid w:val="00582DB7"/>
    <w:rsid w:val="00597A4E"/>
    <w:rsid w:val="005A3624"/>
    <w:rsid w:val="006306CC"/>
    <w:rsid w:val="00646321"/>
    <w:rsid w:val="0064668F"/>
    <w:rsid w:val="00672736"/>
    <w:rsid w:val="00674FB3"/>
    <w:rsid w:val="00681769"/>
    <w:rsid w:val="00682B34"/>
    <w:rsid w:val="00684514"/>
    <w:rsid w:val="00686205"/>
    <w:rsid w:val="006B3ED4"/>
    <w:rsid w:val="006C6D21"/>
    <w:rsid w:val="006D6860"/>
    <w:rsid w:val="006E6E08"/>
    <w:rsid w:val="006F6FF5"/>
    <w:rsid w:val="00711F40"/>
    <w:rsid w:val="0073643F"/>
    <w:rsid w:val="00796D71"/>
    <w:rsid w:val="007A0B21"/>
    <w:rsid w:val="007A1F25"/>
    <w:rsid w:val="007C3536"/>
    <w:rsid w:val="007C5D42"/>
    <w:rsid w:val="007D6401"/>
    <w:rsid w:val="007F4A80"/>
    <w:rsid w:val="0085335E"/>
    <w:rsid w:val="008A0369"/>
    <w:rsid w:val="008B4D6A"/>
    <w:rsid w:val="008B54BF"/>
    <w:rsid w:val="008C7BC3"/>
    <w:rsid w:val="008E68FD"/>
    <w:rsid w:val="008F296F"/>
    <w:rsid w:val="0091218C"/>
    <w:rsid w:val="00922B5C"/>
    <w:rsid w:val="009277D3"/>
    <w:rsid w:val="0094488A"/>
    <w:rsid w:val="00944A9C"/>
    <w:rsid w:val="009642CF"/>
    <w:rsid w:val="009E191C"/>
    <w:rsid w:val="009E2B2A"/>
    <w:rsid w:val="009E6DB3"/>
    <w:rsid w:val="009F2E70"/>
    <w:rsid w:val="009F7622"/>
    <w:rsid w:val="00A05164"/>
    <w:rsid w:val="00A17D67"/>
    <w:rsid w:val="00A34F8F"/>
    <w:rsid w:val="00A36861"/>
    <w:rsid w:val="00A518F2"/>
    <w:rsid w:val="00A843DA"/>
    <w:rsid w:val="00AA583B"/>
    <w:rsid w:val="00AB31B4"/>
    <w:rsid w:val="00AC04CB"/>
    <w:rsid w:val="00B07BD9"/>
    <w:rsid w:val="00B20278"/>
    <w:rsid w:val="00B36C15"/>
    <w:rsid w:val="00B72C59"/>
    <w:rsid w:val="00BB2658"/>
    <w:rsid w:val="00BB33EF"/>
    <w:rsid w:val="00BC3BFA"/>
    <w:rsid w:val="00BE546A"/>
    <w:rsid w:val="00BE5D56"/>
    <w:rsid w:val="00BF3959"/>
    <w:rsid w:val="00BF43EB"/>
    <w:rsid w:val="00BF5640"/>
    <w:rsid w:val="00C1059A"/>
    <w:rsid w:val="00C12A89"/>
    <w:rsid w:val="00C21DDF"/>
    <w:rsid w:val="00C23CFC"/>
    <w:rsid w:val="00C33744"/>
    <w:rsid w:val="00C51127"/>
    <w:rsid w:val="00C51AD1"/>
    <w:rsid w:val="00C7011E"/>
    <w:rsid w:val="00C75AE1"/>
    <w:rsid w:val="00CB52D4"/>
    <w:rsid w:val="00CE2DC5"/>
    <w:rsid w:val="00CE4A31"/>
    <w:rsid w:val="00D0016B"/>
    <w:rsid w:val="00D21DDF"/>
    <w:rsid w:val="00D375F9"/>
    <w:rsid w:val="00D641ED"/>
    <w:rsid w:val="00D7036B"/>
    <w:rsid w:val="00DA21A8"/>
    <w:rsid w:val="00DB10EF"/>
    <w:rsid w:val="00DB63FE"/>
    <w:rsid w:val="00DB6E15"/>
    <w:rsid w:val="00DD37AD"/>
    <w:rsid w:val="00E17107"/>
    <w:rsid w:val="00E86FA8"/>
    <w:rsid w:val="00EA22DC"/>
    <w:rsid w:val="00EC6DD0"/>
    <w:rsid w:val="00EC6E16"/>
    <w:rsid w:val="00ED0465"/>
    <w:rsid w:val="00EE07CB"/>
    <w:rsid w:val="00EE1C1E"/>
    <w:rsid w:val="00F10327"/>
    <w:rsid w:val="00F35098"/>
    <w:rsid w:val="00F53E20"/>
    <w:rsid w:val="00F66704"/>
    <w:rsid w:val="00F67F6A"/>
    <w:rsid w:val="00F82D7C"/>
    <w:rsid w:val="00F95754"/>
    <w:rsid w:val="00FC698A"/>
    <w:rsid w:val="00FD6BA2"/>
    <w:rsid w:val="00FF38B6"/>
    <w:rsid w:val="00FF446A"/>
    <w:rsid w:val="015A7D35"/>
    <w:rsid w:val="06B70F10"/>
    <w:rsid w:val="0D3A3CED"/>
    <w:rsid w:val="1A004525"/>
    <w:rsid w:val="214747E7"/>
    <w:rsid w:val="24DB53C5"/>
    <w:rsid w:val="2D8D7A26"/>
    <w:rsid w:val="2E5D0154"/>
    <w:rsid w:val="33DC122D"/>
    <w:rsid w:val="36316F4D"/>
    <w:rsid w:val="376E2915"/>
    <w:rsid w:val="3A1D0F38"/>
    <w:rsid w:val="3A6E524A"/>
    <w:rsid w:val="3FA348D5"/>
    <w:rsid w:val="499500DF"/>
    <w:rsid w:val="56535401"/>
    <w:rsid w:val="576935E7"/>
    <w:rsid w:val="604A33D1"/>
    <w:rsid w:val="6CC643F5"/>
    <w:rsid w:val="6CF33DC8"/>
    <w:rsid w:val="73840550"/>
    <w:rsid w:val="781F4A38"/>
    <w:rsid w:val="7BFF7D19"/>
    <w:rsid w:val="7C4430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unhideWhenUsed/>
    <w:qFormat/>
    <w:uiPriority w:val="99"/>
    <w:pPr>
      <w:spacing w:after="12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link w:val="10"/>
    <w:qFormat/>
    <w:uiPriority w:val="0"/>
    <w:pPr>
      <w:spacing w:after="0" w:line="360" w:lineRule="auto"/>
      <w:ind w:firstLine="420" w:firstLineChars="100"/>
    </w:pPr>
    <w:rPr>
      <w:rFonts w:ascii="Times New Roman" w:hAnsi="Times New Roman" w:eastAsia="宋体"/>
      <w:sz w:val="30"/>
      <w:szCs w:val="24"/>
    </w:rPr>
  </w:style>
  <w:style w:type="character" w:customStyle="1" w:styleId="9">
    <w:name w:val="正文文本 字符"/>
    <w:basedOn w:val="8"/>
    <w:link w:val="3"/>
    <w:semiHidden/>
    <w:qFormat/>
    <w:uiPriority w:val="99"/>
  </w:style>
  <w:style w:type="character" w:customStyle="1" w:styleId="10">
    <w:name w:val="正文文本首行缩进 字符"/>
    <w:basedOn w:val="9"/>
    <w:link w:val="6"/>
    <w:qFormat/>
    <w:uiPriority w:val="0"/>
    <w:rPr>
      <w:rFonts w:ascii="Times New Roman" w:hAnsi="Times New Roman" w:eastAsia="宋体"/>
      <w:sz w:val="30"/>
      <w:szCs w:val="24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details w/bullets 1"/>
    <w:basedOn w:val="1"/>
    <w:qFormat/>
    <w:uiPriority w:val="0"/>
    <w:pPr>
      <w:widowControl/>
      <w:numPr>
        <w:ilvl w:val="0"/>
        <w:numId w:val="2"/>
      </w:numPr>
      <w:jc w:val="left"/>
    </w:pPr>
    <w:rPr>
      <w:rFonts w:ascii="Times New Roman" w:hAnsi="Times New Roman" w:eastAsia="Times New Roman" w:cs="Times New Roman"/>
      <w:kern w:val="0"/>
      <w:sz w:val="20"/>
      <w:szCs w:val="24"/>
      <w:lang w:val="zh-CN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773AF8-2FF7-4CE6-8263-03A9E10C6B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1349</Words>
  <Characters>2836</Characters>
  <Lines>22</Lines>
  <Paragraphs>6</Paragraphs>
  <TotalTime>114</TotalTime>
  <ScaleCrop>false</ScaleCrop>
  <LinksUpToDate>false</LinksUpToDate>
  <CharactersWithSpaces>3064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2022-09-15T01:42:00Z</dcterms:created>
  <dc:creator>熊进刚</dc:creator>
  <cp:lastModifiedBy>ss</cp:lastModifiedBy>
  <cp:lastPrinted>2023-10-12T04:12:00Z</cp:lastPrinted>
  <dcterms:modified xsi:type="dcterms:W3CDTF">2024-10-29T01:27:34Z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9C961499B0834720B33EB3952ECBD399_13</vt:lpwstr>
  </property>
</Properties>
</file>