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center"/>
        <w:rPr>
          <w:rFonts w:hint="eastAsia" w:ascii="宋体" w:hAnsi="宋体" w:eastAsia="宋体" w:cs="宋体"/>
          <w:b/>
          <w:bCs w:val="0"/>
          <w:sz w:val="44"/>
          <w:szCs w:val="44"/>
        </w:rPr>
      </w:pPr>
      <w:r>
        <w:rPr>
          <w:rFonts w:hint="eastAsia" w:ascii="宋体" w:hAnsi="宋体" w:eastAsia="宋体" w:cs="宋体"/>
          <w:b/>
          <w:bCs w:val="0"/>
          <w:sz w:val="44"/>
          <w:szCs w:val="44"/>
        </w:rPr>
        <w:t>南昌大学</w:t>
      </w:r>
      <w:bookmarkStart w:id="0" w:name="_Hlk149506919"/>
      <w:r>
        <w:rPr>
          <w:rFonts w:hint="eastAsia" w:ascii="宋体" w:hAnsi="宋体" w:eastAsia="宋体" w:cs="宋体"/>
          <w:b/>
          <w:bCs w:val="0"/>
          <w:sz w:val="44"/>
          <w:szCs w:val="44"/>
        </w:rPr>
        <w:t>工程建设学院</w:t>
      </w:r>
      <w:bookmarkEnd w:id="0"/>
      <w:r>
        <w:rPr>
          <w:rFonts w:hint="eastAsia" w:ascii="宋体" w:hAnsi="宋体" w:eastAsia="宋体" w:cs="宋体"/>
          <w:b/>
          <w:bCs w:val="0"/>
          <w:sz w:val="44"/>
          <w:szCs w:val="44"/>
          <w:lang w:val="en-US" w:eastAsia="zh-CN"/>
        </w:rPr>
        <w:t>博士学位授权点</w:t>
      </w:r>
      <w:r>
        <w:rPr>
          <w:rFonts w:hint="eastAsia" w:ascii="宋体" w:hAnsi="宋体" w:eastAsia="宋体" w:cs="宋体"/>
          <w:b/>
          <w:bCs w:val="0"/>
          <w:sz w:val="44"/>
          <w:szCs w:val="44"/>
        </w:rPr>
        <w:t>2024年招收“申请-考核”制研究生实施细则</w:t>
      </w:r>
    </w:p>
    <w:p>
      <w:pPr>
        <w:bidi w:val="0"/>
        <w:rPr>
          <w:rFonts w:hint="eastAsia"/>
        </w:rPr>
      </w:pPr>
      <w:r>
        <w:rPr>
          <w:rFonts w:hint="eastAsia"/>
        </w:rPr>
        <w:t>为深入贯彻落实全国教育大会和全国研究生教育会议精神，根据教育部《关于深化研究生教育改革的意见》》（教研〔2013〕1号）以及《南昌大学博士研究生招生“申请－考核”制实施办法（2023年修订）》（南大校发〔2023〕48号）两个文件精神，工程建设学院制定本实施细则。</w:t>
      </w:r>
    </w:p>
    <w:p>
      <w:pPr>
        <w:pStyle w:val="3"/>
        <w:numPr>
          <w:ilvl w:val="0"/>
          <w:numId w:val="1"/>
        </w:numPr>
        <w:bidi w:val="0"/>
        <w:rPr>
          <w:rFonts w:hint="eastAsia"/>
        </w:rPr>
      </w:pPr>
      <w:r>
        <w:rPr>
          <w:rFonts w:hint="eastAsia"/>
        </w:rPr>
        <w:t>工作原则</w:t>
      </w:r>
    </w:p>
    <w:p>
      <w:pPr>
        <w:bidi w:val="0"/>
        <w:rPr>
          <w:rFonts w:hint="eastAsia"/>
        </w:rPr>
      </w:pPr>
      <w:r>
        <w:rPr>
          <w:rFonts w:hint="eastAsia"/>
        </w:rPr>
        <w:t>（一）坚持质量优先。积极探索并遵循高层次专业人才选拔规律，采用多样化的考察方式方法，择优录取，宁缺毋滥，确保录取高质量高素质博士研究生。</w:t>
      </w:r>
    </w:p>
    <w:p>
      <w:pPr>
        <w:bidi w:val="0"/>
        <w:rPr>
          <w:rFonts w:hint="eastAsia"/>
        </w:rPr>
      </w:pPr>
      <w:r>
        <w:rPr>
          <w:rFonts w:hint="eastAsia"/>
        </w:rPr>
        <w:t>（二）在坚持公开、公平、公正的基础上，充分尊重导师在博士研究生招生选拔中的自主权，择优录取，宁缺毋滥。</w:t>
      </w:r>
    </w:p>
    <w:p>
      <w:pPr>
        <w:bidi w:val="0"/>
        <w:rPr>
          <w:rFonts w:hint="eastAsia"/>
        </w:rPr>
      </w:pPr>
      <w:r>
        <w:rPr>
          <w:rFonts w:hint="eastAsia"/>
        </w:rPr>
        <w:t>（三）坚持考查和考核结合，破除“唯论文”。在对申请人德智体全面考察基础上，突出对专业素质、科研潜力以及创新精神等全方面的考核。</w:t>
      </w:r>
    </w:p>
    <w:p>
      <w:pPr>
        <w:bidi w:val="0"/>
        <w:rPr>
          <w:rFonts w:hint="eastAsia"/>
        </w:rPr>
      </w:pPr>
      <w:r>
        <w:rPr>
          <w:rFonts w:hint="eastAsia"/>
        </w:rPr>
        <w:t>（四）坚持客观评价。考核成绩量化按学校相关文件精神确定，体现报考学生的综合水平。</w:t>
      </w:r>
    </w:p>
    <w:p>
      <w:pPr>
        <w:bidi w:val="0"/>
        <w:rPr>
          <w:rFonts w:hint="eastAsia"/>
        </w:rPr>
      </w:pPr>
      <w:r>
        <w:rPr>
          <w:rFonts w:hint="eastAsia"/>
        </w:rPr>
        <w:t>（五）坚持以人为本。尊重考生，服务考生，增强服务意识，提高管理水平。</w:t>
      </w:r>
    </w:p>
    <w:p>
      <w:pPr>
        <w:pStyle w:val="3"/>
        <w:numPr>
          <w:ilvl w:val="0"/>
          <w:numId w:val="1"/>
        </w:numPr>
        <w:bidi w:val="0"/>
        <w:rPr>
          <w:rFonts w:hint="eastAsia"/>
        </w:rPr>
      </w:pPr>
      <w:r>
        <w:rPr>
          <w:rFonts w:hint="eastAsia"/>
          <w:lang w:val="en-US" w:eastAsia="zh-CN"/>
        </w:rPr>
        <w:t>招考方式</w:t>
      </w:r>
    </w:p>
    <w:p>
      <w:pPr>
        <w:bidi w:val="0"/>
        <w:rPr>
          <w:rFonts w:hint="eastAsia"/>
        </w:rPr>
      </w:pPr>
      <w:r>
        <w:rPr>
          <w:rFonts w:hint="eastAsia"/>
          <w:lang w:val="en-US" w:eastAsia="zh-CN"/>
        </w:rPr>
        <w:t>申请-考核</w:t>
      </w:r>
      <w:r>
        <w:rPr>
          <w:rFonts w:hint="eastAsia"/>
        </w:rPr>
        <w:t>按招生方式分为普通招考、硕博连读和直接攻博。</w:t>
      </w:r>
    </w:p>
    <w:p>
      <w:pPr>
        <w:pStyle w:val="3"/>
        <w:numPr>
          <w:ilvl w:val="0"/>
          <w:numId w:val="1"/>
        </w:numPr>
        <w:bidi w:val="0"/>
        <w:rPr>
          <w:rFonts w:hint="eastAsia"/>
        </w:rPr>
      </w:pPr>
      <w:r>
        <w:rPr>
          <w:rFonts w:hint="eastAsia"/>
        </w:rPr>
        <w:t>招生对象及报考条件</w:t>
      </w:r>
    </w:p>
    <w:p>
      <w:pPr>
        <w:numPr>
          <w:ilvl w:val="0"/>
          <w:numId w:val="2"/>
        </w:numPr>
        <w:bidi w:val="0"/>
        <w:rPr>
          <w:rStyle w:val="15"/>
          <w:rFonts w:hint="eastAsia"/>
        </w:rPr>
      </w:pPr>
      <w:r>
        <w:rPr>
          <w:rStyle w:val="15"/>
          <w:rFonts w:hint="eastAsia"/>
        </w:rPr>
        <w:t>招生对象</w:t>
      </w:r>
      <w:r>
        <w:rPr>
          <w:rStyle w:val="15"/>
          <w:rFonts w:hint="eastAsia" w:eastAsia="楷体_GB2312"/>
          <w:lang w:val="en-US" w:eastAsia="zh-CN"/>
        </w:rPr>
        <w:t>:</w:t>
      </w:r>
    </w:p>
    <w:p>
      <w:pPr>
        <w:bidi w:val="0"/>
        <w:rPr>
          <w:rFonts w:hint="eastAsia"/>
        </w:rPr>
      </w:pPr>
      <w:r>
        <w:rPr>
          <w:rFonts w:hint="eastAsia"/>
        </w:rPr>
        <w:t xml:space="preserve">符合《南昌大学招收攻读博士学位研究生的实施办法》中的申请条件以及我校公布的年度《博士学位研究生招生简章》和《博士学位研究生招生专业目录》中的各项报考条件。其中本科直博生和硕博连读生除外语条件需满足外语水平外，其余条件按《南昌大学招收攻读博士学位研究生的实施办法》执行。 </w:t>
      </w:r>
    </w:p>
    <w:p>
      <w:pPr>
        <w:pStyle w:val="4"/>
        <w:numPr>
          <w:ilvl w:val="0"/>
          <w:numId w:val="2"/>
        </w:numPr>
        <w:bidi w:val="0"/>
        <w:rPr>
          <w:rFonts w:hint="eastAsia"/>
        </w:rPr>
      </w:pPr>
      <w:r>
        <w:rPr>
          <w:rFonts w:hint="eastAsia"/>
        </w:rPr>
        <w:t>学历条件</w:t>
      </w:r>
      <w:r>
        <w:rPr>
          <w:rFonts w:hint="eastAsia"/>
          <w:lang w:val="en-US" w:eastAsia="zh-CN"/>
        </w:rPr>
        <w:t>:</w:t>
      </w:r>
    </w:p>
    <w:p>
      <w:pPr>
        <w:bidi w:val="0"/>
        <w:rPr>
          <w:rFonts w:hint="eastAsia"/>
        </w:rPr>
      </w:pPr>
      <w:r>
        <w:rPr>
          <w:rFonts w:hint="eastAsia"/>
        </w:rPr>
        <w:t>报考全日制博士须为全日制应届或往届硕士研究生，且最迟于博士入学前取得硕士研究生毕业证书和学位证书；获得国（境）外高水平大学硕士学位者，须提供教育部留学服务中心的认证报告。</w:t>
      </w:r>
    </w:p>
    <w:p>
      <w:pPr>
        <w:pStyle w:val="4"/>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申请条件：</w:t>
      </w:r>
    </w:p>
    <w:p>
      <w:pPr>
        <w:pStyle w:val="2"/>
        <w:numPr>
          <w:ilvl w:val="0"/>
          <w:numId w:val="3"/>
        </w:numPr>
        <w:bidi w:val="0"/>
        <w:rPr>
          <w:rFonts w:hint="eastAsia"/>
        </w:rPr>
      </w:pPr>
      <w:r>
        <w:rPr>
          <w:rFonts w:hint="eastAsia"/>
        </w:rPr>
        <w:t>拥护中国共产党的领导，具有正确的政治方向，热爱祖国，愿意为社会主义现代化建设服务，遵纪守法，品行端正；</w:t>
      </w:r>
    </w:p>
    <w:p>
      <w:pPr>
        <w:pStyle w:val="2"/>
        <w:numPr>
          <w:ilvl w:val="0"/>
          <w:numId w:val="3"/>
        </w:numPr>
        <w:bidi w:val="0"/>
        <w:rPr>
          <w:rFonts w:hint="eastAsia"/>
        </w:rPr>
      </w:pPr>
      <w:r>
        <w:rPr>
          <w:rFonts w:hint="eastAsia"/>
        </w:rPr>
        <w:t>硕士研究生毕业或已获硕士学位的人员；应届硕士毕业生（最迟须在入学前毕业或取得硕士学位）</w:t>
      </w:r>
    </w:p>
    <w:p>
      <w:pPr>
        <w:pStyle w:val="2"/>
        <w:numPr>
          <w:ilvl w:val="0"/>
          <w:numId w:val="3"/>
        </w:numPr>
        <w:bidi w:val="0"/>
        <w:rPr>
          <w:rFonts w:hint="eastAsia"/>
        </w:rPr>
      </w:pPr>
      <w:r>
        <w:rPr>
          <w:rFonts w:hint="eastAsia"/>
        </w:rPr>
        <w:t>身体和心理健康状况符合相关规定；</w:t>
      </w:r>
    </w:p>
    <w:p>
      <w:pPr>
        <w:pStyle w:val="2"/>
        <w:numPr>
          <w:ilvl w:val="0"/>
          <w:numId w:val="3"/>
        </w:numPr>
        <w:bidi w:val="0"/>
        <w:rPr>
          <w:rFonts w:hint="eastAsia"/>
        </w:rPr>
      </w:pPr>
      <w:r>
        <w:rPr>
          <w:rFonts w:hint="eastAsia"/>
        </w:rPr>
        <w:t>须满足各培养单位根据学科特点、人才培养目标制定的相关要求；</w:t>
      </w:r>
    </w:p>
    <w:p>
      <w:pPr>
        <w:pStyle w:val="2"/>
        <w:numPr>
          <w:ilvl w:val="0"/>
          <w:numId w:val="3"/>
        </w:numPr>
        <w:bidi w:val="0"/>
        <w:rPr>
          <w:rFonts w:hint="eastAsia"/>
        </w:rPr>
      </w:pPr>
      <w:r>
        <w:rPr>
          <w:rFonts w:hint="eastAsia"/>
        </w:rPr>
        <w:t>须有至少两名所报考学科专业领域内教授（或相当专业技术职称专家）的书面推荐意见；</w:t>
      </w:r>
    </w:p>
    <w:p>
      <w:pPr>
        <w:pStyle w:val="2"/>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硕博连读生</w:t>
      </w:r>
      <w:r>
        <w:rPr>
          <w:rFonts w:hint="eastAsia" w:ascii="仿宋_GB2312" w:hAnsi="仿宋_GB2312" w:eastAsia="仿宋_GB2312" w:cs="仿宋_GB2312"/>
          <w:sz w:val="32"/>
          <w:szCs w:val="32"/>
        </w:rPr>
        <w:t>除满足</w:t>
      </w:r>
      <w:r>
        <w:rPr>
          <w:rFonts w:hint="eastAsia" w:ascii="仿宋_GB2312" w:hAnsi="仿宋_GB2312" w:eastAsia="仿宋_GB2312" w:cs="仿宋_GB2312"/>
          <w:sz w:val="32"/>
          <w:szCs w:val="32"/>
          <w:lang w:val="en-US" w:eastAsia="zh-CN"/>
        </w:rPr>
        <w:t>上述条件外，</w:t>
      </w:r>
      <w:r>
        <w:rPr>
          <w:rFonts w:hint="eastAsia" w:ascii="仿宋_GB2312" w:hAnsi="仿宋_GB2312" w:eastAsia="仿宋_GB2312" w:cs="仿宋_GB2312"/>
          <w:sz w:val="32"/>
          <w:szCs w:val="32"/>
        </w:rPr>
        <w:t>须为我校全日制二年级在籍优秀硕士研究生，且满足以下条件：</w:t>
      </w:r>
    </w:p>
    <w:p>
      <w:pPr>
        <w:pStyle w:val="5"/>
        <w:numPr>
          <w:ilvl w:val="0"/>
          <w:numId w:val="4"/>
        </w:numPr>
        <w:bidi w:val="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申请专业应与硕士研究生阶段学习专业相同或相近；</w:t>
      </w:r>
    </w:p>
    <w:p>
      <w:pPr>
        <w:pStyle w:val="2"/>
        <w:keepNext w:val="0"/>
        <w:keepLines w:val="0"/>
        <w:pageBreakBefore w:val="0"/>
        <w:numPr>
          <w:ilvl w:val="0"/>
          <w:numId w:val="4"/>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已完成硕士研究生阶段的课程学习，成绩优秀；对学术研究有浓厚兴趣，具有较强创新精神和科研能力；</w:t>
      </w:r>
    </w:p>
    <w:p>
      <w:pPr>
        <w:pStyle w:val="2"/>
        <w:keepNext w:val="0"/>
        <w:keepLines w:val="0"/>
        <w:pageBreakBefore w:val="0"/>
        <w:numPr>
          <w:ilvl w:val="0"/>
          <w:numId w:val="4"/>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无考试舞弊、学术不端行为以及其他违法违纪受处分记录；</w:t>
      </w:r>
    </w:p>
    <w:p>
      <w:pPr>
        <w:pStyle w:val="2"/>
        <w:keepNext w:val="0"/>
        <w:keepLines w:val="0"/>
        <w:pageBreakBefore w:val="0"/>
        <w:numPr>
          <w:ilvl w:val="0"/>
          <w:numId w:val="4"/>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已向学校交纳应缴的各类费用；</w:t>
      </w:r>
    </w:p>
    <w:p>
      <w:pPr>
        <w:pStyle w:val="2"/>
        <w:keepNext w:val="0"/>
        <w:keepLines w:val="0"/>
        <w:pageBreakBefore w:val="0"/>
        <w:numPr>
          <w:ilvl w:val="0"/>
          <w:numId w:val="4"/>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为非定向就业研究生。</w:t>
      </w:r>
    </w:p>
    <w:p>
      <w:pPr>
        <w:pStyle w:val="4"/>
        <w:bidi w:val="0"/>
        <w:rPr>
          <w:rFonts w:hint="eastAsia"/>
          <w:lang w:val="en-US" w:eastAsia="zh-CN"/>
        </w:rPr>
      </w:pPr>
      <w:r>
        <w:rPr>
          <w:rFonts w:hint="eastAsia"/>
          <w:lang w:val="en-US" w:eastAsia="zh-CN"/>
        </w:rPr>
        <w:t>（四）外语条件：</w:t>
      </w:r>
    </w:p>
    <w:p>
      <w:pPr>
        <w:bidi w:val="0"/>
        <w:rPr>
          <w:rFonts w:hint="eastAsia"/>
        </w:rPr>
      </w:pPr>
      <w:r>
        <w:rPr>
          <w:rFonts w:hint="eastAsia"/>
        </w:rPr>
        <w:t>申请人的外语水平至少需满足以下条件之一：：</w:t>
      </w:r>
    </w:p>
    <w:p>
      <w:pPr>
        <w:bidi w:val="0"/>
        <w:rPr>
          <w:rFonts w:hint="eastAsia"/>
        </w:rPr>
      </w:pPr>
      <w:r>
        <w:rPr>
          <w:rFonts w:hint="eastAsia"/>
        </w:rPr>
        <w:t>1. 在英语语言国家获得过学士以上学位者；</w:t>
      </w:r>
    </w:p>
    <w:p>
      <w:pPr>
        <w:bidi w:val="0"/>
        <w:rPr>
          <w:rFonts w:hint="eastAsia"/>
        </w:rPr>
      </w:pPr>
      <w:r>
        <w:rPr>
          <w:rFonts w:hint="eastAsia"/>
        </w:rPr>
        <w:t>2. 全国大学英语六级考试（CTE6）成绩≥425分或全国大学英语四级考试（CET4）成绩≥450分；</w:t>
      </w:r>
    </w:p>
    <w:p>
      <w:pPr>
        <w:bidi w:val="0"/>
        <w:rPr>
          <w:rFonts w:hint="eastAsia"/>
        </w:rPr>
      </w:pPr>
      <w:r>
        <w:rPr>
          <w:rFonts w:hint="eastAsia"/>
        </w:rPr>
        <w:t>3. 托福（TOEFL）成绩≥80分；</w:t>
      </w:r>
    </w:p>
    <w:p>
      <w:pPr>
        <w:bidi w:val="0"/>
        <w:rPr>
          <w:rFonts w:hint="eastAsia"/>
        </w:rPr>
      </w:pPr>
      <w:r>
        <w:rPr>
          <w:rFonts w:hint="eastAsia"/>
        </w:rPr>
        <w:t>4. 雅思（IELTS）成绩≥6分；</w:t>
      </w:r>
    </w:p>
    <w:p>
      <w:pPr>
        <w:bidi w:val="0"/>
        <w:rPr>
          <w:rFonts w:hint="eastAsia"/>
        </w:rPr>
      </w:pPr>
      <w:r>
        <w:rPr>
          <w:rFonts w:hint="eastAsia"/>
        </w:rPr>
        <w:t>5. 参加我校统一组织的英语水平测试且成绩合格。</w:t>
      </w:r>
    </w:p>
    <w:p>
      <w:pPr>
        <w:bidi w:val="0"/>
        <w:rPr>
          <w:rFonts w:hint="eastAsia"/>
        </w:rPr>
      </w:pPr>
      <w:r>
        <w:rPr>
          <w:rFonts w:hint="eastAsia"/>
        </w:rPr>
        <w:t>以上成绩证书获得时间距当年博士入学时间（9月1日）不超过6年（含6年），若报考时为在读硕士研究生，则成绩证书获得时间不受以上时间限制。</w:t>
      </w:r>
    </w:p>
    <w:p>
      <w:pPr>
        <w:bidi w:val="0"/>
        <w:rPr>
          <w:rFonts w:hint="eastAsia"/>
        </w:rPr>
      </w:pPr>
      <w:r>
        <w:rPr>
          <w:rStyle w:val="15"/>
          <w:rFonts w:hint="eastAsia"/>
          <w:lang w:eastAsia="zh-CN"/>
        </w:rPr>
        <w:t>（</w:t>
      </w:r>
      <w:r>
        <w:rPr>
          <w:rStyle w:val="15"/>
          <w:rFonts w:hint="eastAsia"/>
          <w:lang w:val="en-US" w:eastAsia="zh-CN"/>
        </w:rPr>
        <w:t>五</w:t>
      </w:r>
      <w:r>
        <w:rPr>
          <w:rStyle w:val="15"/>
          <w:rFonts w:hint="eastAsia"/>
          <w:lang w:eastAsia="zh-CN"/>
        </w:rPr>
        <w:t>）</w:t>
      </w:r>
      <w:r>
        <w:rPr>
          <w:rStyle w:val="15"/>
          <w:rFonts w:hint="eastAsia"/>
        </w:rPr>
        <w:t>学术条件。</w:t>
      </w:r>
      <w:r>
        <w:rPr>
          <w:rFonts w:hint="eastAsia"/>
        </w:rPr>
        <w:t>坚守学术诚信，无学术不端行为记录，有较好的科研能力和科研成果产出，</w:t>
      </w:r>
      <w:r>
        <w:rPr>
          <w:rFonts w:hint="eastAsia"/>
          <w:b/>
          <w:bCs/>
          <w:lang w:val="en-US" w:eastAsia="zh-CN"/>
        </w:rPr>
        <w:t>普通招考</w:t>
      </w:r>
      <w:r>
        <w:rPr>
          <w:rFonts w:hint="eastAsia"/>
        </w:rPr>
        <w:t>近五年内至少符合以下条件之一：</w:t>
      </w:r>
    </w:p>
    <w:p>
      <w:pPr>
        <w:bidi w:val="0"/>
        <w:rPr>
          <w:rFonts w:hint="eastAsia"/>
        </w:rPr>
      </w:pPr>
      <w:r>
        <w:rPr>
          <w:rFonts w:hint="eastAsia"/>
        </w:rPr>
        <w:t>1. 以第一作者、通讯作者或第二作者（导师为第一作者）发表学术论文；</w:t>
      </w:r>
    </w:p>
    <w:p>
      <w:pPr>
        <w:bidi w:val="0"/>
        <w:rPr>
          <w:rFonts w:hint="eastAsia"/>
        </w:rPr>
      </w:pPr>
      <w:r>
        <w:rPr>
          <w:rFonts w:hint="eastAsia"/>
        </w:rPr>
        <w:t>2. 作为主要成员获得省部级以上科研奖励；</w:t>
      </w:r>
    </w:p>
    <w:p>
      <w:pPr>
        <w:bidi w:val="0"/>
        <w:rPr>
          <w:rFonts w:hint="eastAsia"/>
        </w:rPr>
      </w:pPr>
      <w:r>
        <w:rPr>
          <w:rFonts w:hint="eastAsia"/>
        </w:rPr>
        <w:t>3. 作为主要成员参与国家级科研项目且已取得一定成果；</w:t>
      </w:r>
    </w:p>
    <w:p>
      <w:pPr>
        <w:bidi w:val="0"/>
        <w:rPr>
          <w:rFonts w:hint="eastAsia"/>
        </w:rPr>
      </w:pPr>
      <w:r>
        <w:rPr>
          <w:rFonts w:hint="eastAsia"/>
        </w:rPr>
        <w:t>4. 作为主要成员获得国家授权发明专利或实用新型专利；</w:t>
      </w:r>
    </w:p>
    <w:p>
      <w:pPr>
        <w:bidi w:val="0"/>
        <w:rPr>
          <w:rFonts w:hint="eastAsia"/>
        </w:rPr>
      </w:pPr>
      <w:r>
        <w:rPr>
          <w:rFonts w:hint="eastAsia"/>
        </w:rPr>
        <w:t>5. 作为主要成员在全国研究生创新竞赛或全国普通高校学科竞赛排行榜内竞赛项目中获得奖励；</w:t>
      </w:r>
    </w:p>
    <w:p>
      <w:pPr>
        <w:bidi w:val="0"/>
        <w:rPr>
          <w:rFonts w:hint="eastAsia"/>
        </w:rPr>
      </w:pPr>
      <w:r>
        <w:rPr>
          <w:rFonts w:hint="eastAsia"/>
        </w:rPr>
        <w:t>6. 取得其他创新性成果的，经培养</w:t>
      </w:r>
      <w:bookmarkStart w:id="2" w:name="_GoBack"/>
      <w:bookmarkEnd w:id="2"/>
      <w:r>
        <w:rPr>
          <w:rFonts w:hint="eastAsia"/>
        </w:rPr>
        <w:t>单位研究生招生工作小组认定可作为申请条件。</w:t>
      </w:r>
    </w:p>
    <w:p>
      <w:pPr>
        <w:pStyle w:val="2"/>
        <w:rPr>
          <w:rFonts w:hint="default" w:eastAsia="仿宋_GB2312"/>
          <w:lang w:val="en-US" w:eastAsia="zh-CN"/>
        </w:rPr>
      </w:pPr>
      <w:r>
        <w:rPr>
          <w:rFonts w:hint="eastAsia"/>
          <w:b/>
          <w:bCs/>
          <w:lang w:val="en-US" w:eastAsia="zh-CN"/>
        </w:rPr>
        <w:t>硕博连读</w:t>
      </w:r>
      <w:r>
        <w:rPr>
          <w:rFonts w:hint="eastAsia"/>
          <w:lang w:val="en-US" w:eastAsia="zh-CN"/>
        </w:rPr>
        <w:t>由学院材料评议小组认定。</w:t>
      </w:r>
    </w:p>
    <w:p>
      <w:pPr>
        <w:pStyle w:val="3"/>
        <w:numPr>
          <w:ilvl w:val="0"/>
          <w:numId w:val="1"/>
        </w:numPr>
        <w:bidi w:val="0"/>
        <w:rPr>
          <w:rFonts w:hint="eastAsia"/>
        </w:rPr>
      </w:pPr>
      <w:r>
        <w:rPr>
          <w:rFonts w:hint="eastAsia"/>
        </w:rPr>
        <w:t>工作程序</w:t>
      </w:r>
    </w:p>
    <w:p>
      <w:pPr>
        <w:pStyle w:val="4"/>
        <w:numPr>
          <w:ilvl w:val="0"/>
          <w:numId w:val="5"/>
        </w:numPr>
        <w:bidi w:val="0"/>
        <w:rPr>
          <w:rFonts w:hint="eastAsia"/>
        </w:rPr>
      </w:pPr>
      <w:r>
        <w:rPr>
          <w:rFonts w:hint="eastAsia"/>
        </w:rPr>
        <w:t>报名程序及材料</w:t>
      </w:r>
    </w:p>
    <w:p>
      <w:pPr>
        <w:bidi w:val="0"/>
        <w:rPr>
          <w:rFonts w:hint="eastAsia"/>
        </w:rPr>
      </w:pPr>
      <w:r>
        <w:rPr>
          <w:rFonts w:hint="eastAsia"/>
          <w:lang w:val="en-US" w:eastAsia="zh-CN"/>
        </w:rPr>
        <w:t>1.</w:t>
      </w:r>
      <w:r>
        <w:rPr>
          <w:rFonts w:hint="eastAsia" w:ascii="仿宋_GB2312" w:hAnsi="仿宋_GB2312" w:eastAsia="仿宋_GB2312" w:cs="仿宋_GB2312"/>
          <w:sz w:val="32"/>
          <w:szCs w:val="32"/>
          <w:shd w:val="clear" w:color="auto" w:fill="FFFFFF"/>
        </w:rPr>
        <w:t xml:space="preserve"> </w:t>
      </w:r>
      <w:r>
        <w:rPr>
          <w:rFonts w:hint="eastAsia"/>
        </w:rPr>
        <w:t>报名程序</w:t>
      </w:r>
    </w:p>
    <w:p>
      <w:pPr>
        <w:bidi w:val="0"/>
        <w:rPr>
          <w:rFonts w:hint="eastAsia"/>
        </w:rPr>
      </w:pPr>
      <w:r>
        <w:rPr>
          <w:rFonts w:hint="eastAsia"/>
        </w:rPr>
        <w:t>网上报名：申请人须在规定时间内登录全国博士研究生网报系统（网址：http://yz.chsi.com.cn/bsbm/）进行报名，如实填写和提交报名信息。网上报名时间以研究生院实际通知要求为准。</w:t>
      </w:r>
    </w:p>
    <w:p>
      <w:pPr>
        <w:bidi w:val="0"/>
        <w:rPr>
          <w:rFonts w:hint="eastAsia"/>
        </w:rPr>
      </w:pPr>
      <w:r>
        <w:rPr>
          <w:rFonts w:hint="eastAsia"/>
          <w:lang w:val="en-US" w:eastAsia="zh-CN"/>
        </w:rPr>
        <w:t>2.</w:t>
      </w:r>
      <w:r>
        <w:rPr>
          <w:rFonts w:hint="eastAsia" w:ascii="仿宋_GB2312" w:hAnsi="仿宋_GB2312" w:eastAsia="仿宋_GB2312" w:cs="仿宋_GB2312"/>
          <w:sz w:val="32"/>
          <w:szCs w:val="32"/>
          <w:shd w:val="clear" w:color="auto" w:fill="FFFFFF"/>
        </w:rPr>
        <w:t xml:space="preserve"> </w:t>
      </w:r>
      <w:r>
        <w:rPr>
          <w:rFonts w:hint="eastAsia"/>
        </w:rPr>
        <w:t>申请人须在规定时间内向培养单位提交如下材料：</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《南昌大学博士研究生报名登记表》原件。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本人学历证书、学位证书、二代身份证复印件。</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硕士学历证书、学位证书。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应届硕士生：硕士研究生证复印件；《教育部学籍在线验证报告》（可在中国高等教育学生信息网上注册申请）；（最迟须在入学前取得硕士学位）。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已获硕士学位者：研究生学历证书、硕士学位证书复印件；《教育部学历证书电子注册备案表》；《学位证书认证报告》。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国（境）外学历申请人须提交教育部留学服务中心国外学历学位认证报告。</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本科学历证书、学士学位证书复印件；《教育部学历证书电子注册备案表》；《学位证书认证报告》。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硕士成绩单（在校研究生到本校研究生院培养部门办理并加盖公章，在职人员从本人人事档案中复印并加盖档案管理部门公章）。</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英语水平成绩证明。</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获奖证书复印件、公开发表的学术论文、所获专利、出版专著及其他原创性研究成果的证明材料。</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硕士学位论文情况：已获硕士学位者介绍硕士学位论文概要和创新情况等，并提供硕士论文（附评阅书或评议书），应届硕士生介绍硕士学位论文开题报告及研究进展等。</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自我评价和经报考导师审核的拟攻读博士学位的研究计划书（计划书不少于5000字）。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请人必须保证所有申请材料的真实性和准确性，入学时须核验以上材料的原件，一旦发现弄虚作假，将取消其申请资格、录取资格或学籍。申请材料现场审核，网上报名结束后进行统一审核，具体时间另行在官网上通知公布。资格审核及材料评议</w:t>
      </w:r>
    </w:p>
    <w:p>
      <w:pPr>
        <w:pStyle w:val="4"/>
        <w:numPr>
          <w:ilvl w:val="0"/>
          <w:numId w:val="5"/>
        </w:numPr>
        <w:bidi w:val="0"/>
        <w:rPr>
          <w:rFonts w:hint="eastAsia"/>
        </w:rPr>
      </w:pPr>
      <w:r>
        <w:rPr>
          <w:rFonts w:hint="eastAsia"/>
        </w:rPr>
        <w:t>材料评议的分值组成</w:t>
      </w:r>
    </w:p>
    <w:p>
      <w:pPr>
        <w:bidi w:val="0"/>
        <w:rPr>
          <w:rFonts w:hint="eastAsia"/>
        </w:rPr>
      </w:pPr>
      <w:r>
        <w:rPr>
          <w:rFonts w:hint="eastAsia"/>
        </w:rPr>
        <w:t>材料评议总成绩=学习经历+学术论文+专利+获奖，满分为100分（超过100分以100分计），成绩低于60分不进入综合考核环节。</w:t>
      </w:r>
    </w:p>
    <w:p>
      <w:pPr>
        <w:bidi w:val="0"/>
        <w:rPr>
          <w:rFonts w:hint="eastAsia"/>
        </w:rPr>
      </w:pPr>
      <w:r>
        <w:rPr>
          <w:rFonts w:hint="eastAsia" w:ascii="仿宋_GB2312" w:hAnsi="仿宋_GB2312" w:eastAsia="仿宋_GB2312" w:cs="仿宋_GB2312"/>
          <w:b/>
          <w:bCs/>
          <w:sz w:val="32"/>
          <w:szCs w:val="32"/>
          <w:shd w:val="clear" w:color="auto" w:fill="FFFFFF"/>
        </w:rPr>
        <w:t>1</w:t>
      </w:r>
      <w:r>
        <w:rPr>
          <w:rFonts w:hint="eastAsia" w:ascii="仿宋_GB2312" w:hAnsi="仿宋_GB2312" w:eastAsia="仿宋_GB2312" w:cs="仿宋_GB2312"/>
          <w:b/>
          <w:bCs/>
          <w:sz w:val="32"/>
          <w:szCs w:val="32"/>
          <w:shd w:val="clear" w:color="auto" w:fill="FFFFFF"/>
          <w:lang w:val="en-US" w:eastAsia="zh-CN"/>
        </w:rPr>
        <w:t>.</w:t>
      </w:r>
      <w:r>
        <w:rPr>
          <w:rFonts w:hint="eastAsia" w:ascii="仿宋_GB2312" w:hAnsi="仿宋_GB2312" w:eastAsia="仿宋_GB2312" w:cs="仿宋_GB2312"/>
          <w:b/>
          <w:bCs/>
          <w:sz w:val="32"/>
          <w:szCs w:val="32"/>
          <w:shd w:val="clear" w:color="auto" w:fill="FFFFFF"/>
        </w:rPr>
        <w:t xml:space="preserve"> 学习经历</w:t>
      </w:r>
      <w:r>
        <w:rPr>
          <w:rFonts w:hint="eastAsia" w:ascii="仿宋_GB2312" w:hAnsi="仿宋_GB2312" w:eastAsia="仿宋_GB2312" w:cs="仿宋_GB2312"/>
          <w:b w:val="0"/>
          <w:bCs w:val="0"/>
          <w:sz w:val="32"/>
          <w:szCs w:val="32"/>
          <w:shd w:val="clear" w:color="auto" w:fill="FFFFFF"/>
        </w:rPr>
        <w:t>（</w:t>
      </w:r>
      <w:r>
        <w:rPr>
          <w:rFonts w:hint="eastAsia"/>
        </w:rPr>
        <w:t>满分60分）</w:t>
      </w:r>
    </w:p>
    <w:p>
      <w:pPr>
        <w:bidi w:val="0"/>
        <w:rPr>
          <w:rFonts w:hint="eastAsia"/>
        </w:rPr>
      </w:pPr>
      <w:r>
        <w:rPr>
          <w:rFonts w:hint="eastAsia"/>
        </w:rPr>
        <w:t>（1）一流大学建设高校，计60分；</w:t>
      </w:r>
    </w:p>
    <w:p>
      <w:pPr>
        <w:bidi w:val="0"/>
        <w:rPr>
          <w:rFonts w:hint="eastAsia"/>
        </w:rPr>
      </w:pPr>
      <w:r>
        <w:rPr>
          <w:rFonts w:hint="eastAsia"/>
        </w:rPr>
        <w:t>（2）一流学科建设高校，计60分；</w:t>
      </w:r>
    </w:p>
    <w:p>
      <w:pPr>
        <w:bidi w:val="0"/>
        <w:rPr>
          <w:rFonts w:hint="eastAsia"/>
        </w:rPr>
      </w:pPr>
      <w:r>
        <w:rPr>
          <w:rFonts w:hint="eastAsia"/>
        </w:rPr>
        <w:t>（3）中科院研究所或所学专业在第四轮全国学科评估的结果为B类即以上，计60分；</w:t>
      </w:r>
    </w:p>
    <w:p>
      <w:pPr>
        <w:bidi w:val="0"/>
        <w:rPr>
          <w:rFonts w:hint="eastAsia"/>
        </w:rPr>
      </w:pPr>
      <w:r>
        <w:rPr>
          <w:rFonts w:hint="eastAsia"/>
        </w:rPr>
        <w:t>（4）获得国（境）外一流大学硕士学位者，计60分。</w:t>
      </w:r>
    </w:p>
    <w:p>
      <w:pPr>
        <w:bidi w:val="0"/>
        <w:rPr>
          <w:rFonts w:hint="eastAsia"/>
        </w:rPr>
      </w:pPr>
      <w:r>
        <w:rPr>
          <w:rFonts w:hint="eastAsia" w:ascii="仿宋_GB2312" w:hAnsi="仿宋_GB2312" w:eastAsia="仿宋_GB2312" w:cs="仿宋_GB2312"/>
          <w:b/>
          <w:bCs/>
          <w:sz w:val="32"/>
          <w:szCs w:val="32"/>
          <w:shd w:val="clear" w:color="auto" w:fill="FFFFFF"/>
          <w:lang w:val="en-US" w:eastAsia="zh-CN"/>
        </w:rPr>
        <w:t>2.</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32"/>
          <w:szCs w:val="32"/>
          <w:shd w:val="clear" w:color="auto" w:fill="FFFFFF"/>
          <w:lang w:val="en-US" w:eastAsia="zh-CN"/>
        </w:rPr>
        <w:t>学术论文</w:t>
      </w:r>
      <w:r>
        <w:rPr>
          <w:rFonts w:hint="eastAsia"/>
        </w:rPr>
        <w:t>（满分60分，论文以正式发表或</w:t>
      </w:r>
      <w:r>
        <w:rPr>
          <w:rFonts w:hint="eastAsia"/>
          <w:lang w:eastAsia="zh-CN"/>
        </w:rPr>
        <w:t>网络首发</w:t>
      </w:r>
      <w:r>
        <w:rPr>
          <w:rFonts w:hint="eastAsia"/>
        </w:rPr>
        <w:t>为准，硕士期间发表的论文必须本人第一作者或导师第一、本人第二作者）：</w:t>
      </w:r>
    </w:p>
    <w:p>
      <w:pPr>
        <w:bidi w:val="0"/>
        <w:rPr>
          <w:rFonts w:hint="eastAsia"/>
        </w:rPr>
      </w:pPr>
      <w:r>
        <w:rPr>
          <w:rFonts w:hint="eastAsia"/>
        </w:rPr>
        <w:t>（1）近五年内，在核心及以上期刊发表一篇所学专业的学术论文，计60分。</w:t>
      </w:r>
    </w:p>
    <w:p>
      <w:pPr>
        <w:bidi w:val="0"/>
        <w:rPr>
          <w:rFonts w:hint="eastAsia"/>
        </w:rPr>
      </w:pPr>
      <w:r>
        <w:rPr>
          <w:rFonts w:hint="eastAsia" w:ascii="仿宋_GB2312" w:hAnsi="仿宋_GB2312" w:eastAsia="仿宋_GB2312" w:cs="仿宋_GB2312"/>
          <w:b/>
          <w:bCs/>
          <w:sz w:val="32"/>
          <w:szCs w:val="32"/>
          <w:shd w:val="clear" w:color="auto" w:fill="FFFFFF"/>
        </w:rPr>
        <w:t>3</w:t>
      </w:r>
      <w:r>
        <w:rPr>
          <w:rFonts w:hint="eastAsia" w:ascii="仿宋_GB2312" w:hAnsi="仿宋_GB2312" w:eastAsia="仿宋_GB2312" w:cs="仿宋_GB2312"/>
          <w:b/>
          <w:bCs/>
          <w:sz w:val="32"/>
          <w:szCs w:val="32"/>
          <w:shd w:val="clear" w:color="auto" w:fill="FFFFFF"/>
          <w:lang w:val="en-US" w:eastAsia="zh-CN"/>
        </w:rPr>
        <w:t>.</w:t>
      </w:r>
      <w:r>
        <w:rPr>
          <w:rFonts w:hint="eastAsia" w:ascii="仿宋_GB2312" w:hAnsi="仿宋_GB2312" w:eastAsia="仿宋_GB2312" w:cs="仿宋_GB2312"/>
          <w:b/>
          <w:bCs/>
          <w:sz w:val="32"/>
          <w:szCs w:val="32"/>
          <w:shd w:val="clear" w:color="auto" w:fill="FFFFFF"/>
        </w:rPr>
        <w:t xml:space="preserve"> 专利</w:t>
      </w:r>
      <w:r>
        <w:rPr>
          <w:rFonts w:hint="eastAsia"/>
        </w:rPr>
        <w:t>（满分20分，超过20分按20分计；专利以获得授权为准，申请人必须第一发明人或导师第一、本人第二发明人；以下2项成果只计算分数最高的一项，各项的分数不累加）：</w:t>
      </w:r>
    </w:p>
    <w:p>
      <w:pPr>
        <w:bidi w:val="0"/>
        <w:rPr>
          <w:rFonts w:hint="eastAsia"/>
        </w:rPr>
      </w:pPr>
      <w:r>
        <w:rPr>
          <w:rFonts w:hint="eastAsia"/>
        </w:rPr>
        <w:t>（1）发明专利1项计15分，2项及以上计20分；</w:t>
      </w:r>
    </w:p>
    <w:p>
      <w:pPr>
        <w:bidi w:val="0"/>
        <w:rPr>
          <w:rFonts w:hint="eastAsia"/>
        </w:rPr>
      </w:pPr>
      <w:r>
        <w:rPr>
          <w:rFonts w:hint="eastAsia"/>
        </w:rPr>
        <w:t>（2）实用新型、外观专利或软件著作权等所有类别中仅认定代表性1项计5分。</w:t>
      </w:r>
    </w:p>
    <w:p>
      <w:pPr>
        <w:bidi w:val="0"/>
        <w:rPr>
          <w:rFonts w:hint="eastAsia"/>
        </w:rPr>
      </w:pPr>
      <w:r>
        <w:rPr>
          <w:rFonts w:hint="eastAsia" w:ascii="仿宋_GB2312" w:hAnsi="仿宋_GB2312" w:eastAsia="仿宋_GB2312" w:cs="仿宋_GB2312"/>
          <w:b/>
          <w:bCs/>
          <w:sz w:val="32"/>
          <w:szCs w:val="32"/>
          <w:shd w:val="clear" w:color="auto" w:fill="FFFFFF"/>
        </w:rPr>
        <w:t>4</w:t>
      </w:r>
      <w:r>
        <w:rPr>
          <w:rFonts w:hint="eastAsia" w:ascii="仿宋_GB2312" w:hAnsi="仿宋_GB2312" w:eastAsia="仿宋_GB2312" w:cs="仿宋_GB2312"/>
          <w:b/>
          <w:bCs/>
          <w:sz w:val="32"/>
          <w:szCs w:val="32"/>
          <w:shd w:val="clear" w:color="auto" w:fill="FFFFFF"/>
          <w:lang w:val="en-US" w:eastAsia="zh-CN"/>
        </w:rPr>
        <w:t>.</w:t>
      </w:r>
      <w:r>
        <w:rPr>
          <w:rFonts w:hint="eastAsia" w:ascii="仿宋_GB2312" w:hAnsi="仿宋_GB2312" w:eastAsia="仿宋_GB2312" w:cs="仿宋_GB2312"/>
          <w:b/>
          <w:bCs/>
          <w:sz w:val="32"/>
          <w:szCs w:val="32"/>
          <w:shd w:val="clear" w:color="auto" w:fill="FFFFFF"/>
        </w:rPr>
        <w:t xml:space="preserve"> 获奖情况</w:t>
      </w:r>
      <w:r>
        <w:rPr>
          <w:rFonts w:hint="eastAsia"/>
        </w:rPr>
        <w:t>（满分10分，超过10分按10分计；获奖情况只认定本人在硕士期间及以后获得的学业或科技奖励；以下3项获奖只计算分数最高的一项，各项的分数不累加）：</w:t>
      </w:r>
    </w:p>
    <w:p>
      <w:pPr>
        <w:bidi w:val="0"/>
        <w:rPr>
          <w:rFonts w:hint="eastAsia"/>
        </w:rPr>
      </w:pPr>
      <w:r>
        <w:rPr>
          <w:rFonts w:hint="eastAsia"/>
        </w:rPr>
        <w:t>（1）国家级奖1项计10分；</w:t>
      </w:r>
    </w:p>
    <w:p>
      <w:pPr>
        <w:bidi w:val="0"/>
        <w:rPr>
          <w:rFonts w:hint="eastAsia"/>
        </w:rPr>
      </w:pPr>
      <w:r>
        <w:rPr>
          <w:rFonts w:hint="eastAsia"/>
        </w:rPr>
        <w:t>（2）省部级奖项仅认定代表性1项计5分；</w:t>
      </w:r>
    </w:p>
    <w:p>
      <w:pPr>
        <w:bidi w:val="0"/>
        <w:rPr>
          <w:rFonts w:hint="eastAsia"/>
        </w:rPr>
      </w:pPr>
      <w:r>
        <w:rPr>
          <w:rFonts w:hint="eastAsia"/>
        </w:rPr>
        <w:t>（3）校级或其它奖项等仅认定代表性1项计2分。</w:t>
      </w:r>
    </w:p>
    <w:p>
      <w:pPr>
        <w:pStyle w:val="4"/>
        <w:numPr>
          <w:ilvl w:val="0"/>
          <w:numId w:val="5"/>
        </w:numPr>
        <w:bidi w:val="0"/>
        <w:rPr>
          <w:rFonts w:hint="eastAsia"/>
        </w:rPr>
      </w:pPr>
      <w:r>
        <w:rPr>
          <w:rFonts w:hint="eastAsia"/>
        </w:rPr>
        <w:t>综合考核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本次</w:t>
      </w:r>
      <w:r>
        <w:rPr>
          <w:rFonts w:hint="eastAsia" w:ascii="仿宋_GB2312" w:hAnsi="仿宋_GB2312" w:eastAsia="仿宋_GB2312" w:cs="仿宋_GB2312"/>
          <w:sz w:val="32"/>
          <w:szCs w:val="32"/>
          <w:highlight w:val="none"/>
          <w:shd w:val="clear" w:color="auto" w:fill="FFFFFF"/>
        </w:rPr>
        <w:t>招收博士研究生考核为差额考核，差额比例根据进入考核程序申请人情况确定。由学科考核组和导师对进入考核阶段的考生进行专业综合能力考核，内容包括英语水平、专业基础知识、综合素质和科研创新能力等，主要考察申请人的综合素质、科研潜质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成立不少于5位博士生导师组成的综合考核小组对进入综合考核阶段的申请人进行考核，内容包括外语水平测试、专业基础考核、综合面试。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综合考核总成绩=外语水平测试*20%+专业基础考核*30%+综合面试*50%，综合考核总成绩满分100，综合成绩低于60分不予录取。</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 外语水平测试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对申请人的外语应用能力进行测试，主要考核外语写作、文献阅读能力，无参考书目。考核方式为笔试，考试时间30分钟，满分100分，成绩低于60分为考核不合格，不予录取。</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2. 专业基础考核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主要考核申请人掌握本学科基础知识、基础理论、研究方法以及专业技能情况。考核方式为笔试，考试时间60分钟，满分100分，成绩低于60分为考核不合格，不予录取。</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3. 综合面试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重点考核申请人思想政治素质和品德、硕士课程学习情况、综合运用所学知识的能力、科研创新能力、对本学科前沿领域及最新研究动态的掌握情况及是否具备博士生培养潜质等。考核采用面试形式，每位</w:t>
      </w:r>
      <w:bookmarkStart w:id="1" w:name="_Hlk149511222"/>
      <w:r>
        <w:rPr>
          <w:rFonts w:hint="eastAsia" w:ascii="仿宋_GB2312" w:hAnsi="仿宋_GB2312" w:eastAsia="仿宋_GB2312" w:cs="仿宋_GB2312"/>
          <w:sz w:val="32"/>
          <w:szCs w:val="32"/>
          <w:shd w:val="clear" w:color="auto" w:fill="FFFFFF"/>
        </w:rPr>
        <w:t>申请人</w:t>
      </w:r>
      <w:bookmarkEnd w:id="1"/>
      <w:r>
        <w:rPr>
          <w:rFonts w:hint="eastAsia" w:ascii="仿宋_GB2312" w:hAnsi="仿宋_GB2312" w:eastAsia="仿宋_GB2312" w:cs="仿宋_GB2312"/>
          <w:sz w:val="32"/>
          <w:szCs w:val="32"/>
          <w:shd w:val="clear" w:color="auto" w:fill="FFFFFF"/>
        </w:rPr>
        <w:t>面试时间20分钟，其中申请人介绍个人情况10分钟，考核小组提问10分钟。申请人介绍个人情况采用PPT汇报，内容包括个人学习和工作经历、硕士学习成绩、硕士论文、参加科学研究情况以及取得的科研成果等。综合面试满分100分，成绩低于60分为考核不合格，不予录取。</w:t>
      </w:r>
    </w:p>
    <w:p>
      <w:pPr>
        <w:pStyle w:val="4"/>
        <w:numPr>
          <w:ilvl w:val="0"/>
          <w:numId w:val="5"/>
        </w:numPr>
        <w:bidi w:val="0"/>
        <w:rPr>
          <w:rFonts w:hint="eastAsia"/>
        </w:rPr>
      </w:pPr>
      <w:r>
        <w:rPr>
          <w:rFonts w:hint="eastAsia"/>
        </w:rPr>
        <w:t>择优录取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学院在综合评定申请人的思想品德和政治素质基础上，在同一导师内按照申请人学科综合考核总成绩由高到低的顺序依次录取。拟录取名单经研究生院审核、审批后进行公示，公示期为10天。</w:t>
      </w:r>
    </w:p>
    <w:p>
      <w:pPr>
        <w:pStyle w:val="3"/>
        <w:numPr>
          <w:ilvl w:val="0"/>
          <w:numId w:val="1"/>
        </w:numPr>
        <w:bidi w:val="0"/>
        <w:rPr>
          <w:rFonts w:hint="eastAsia"/>
        </w:rPr>
      </w:pPr>
      <w:r>
        <w:rPr>
          <w:rFonts w:hint="eastAsia"/>
        </w:rPr>
        <w:t>其他事项</w:t>
      </w:r>
    </w:p>
    <w:p>
      <w:pPr>
        <w:pStyle w:val="11"/>
        <w:keepNext w:val="0"/>
        <w:keepLines w:val="0"/>
        <w:pageBreakBefore w:val="0"/>
        <w:widowControl/>
        <w:kinsoku/>
        <w:overflowPunct/>
        <w:topLinePunct w:val="0"/>
        <w:autoSpaceDE/>
        <w:autoSpaceDN/>
        <w:bidi w:val="0"/>
        <w:adjustRightInd/>
        <w:snapToGrid/>
        <w:spacing w:before="180" w:beforeAutospacing="0" w:after="150" w:afterAutospacing="0" w:line="560" w:lineRule="exact"/>
        <w:ind w:firstLine="640" w:firstLineChars="200"/>
        <w:textAlignment w:val="auto"/>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 xml:space="preserve">学院咨询电话：谌老师 0791-83969657 </w:t>
      </w:r>
    </w:p>
    <w:p>
      <w:pPr>
        <w:pStyle w:val="11"/>
        <w:keepNext w:val="0"/>
        <w:keepLines w:val="0"/>
        <w:pageBreakBefore w:val="0"/>
        <w:widowControl/>
        <w:kinsoku/>
        <w:overflowPunct/>
        <w:topLinePunct w:val="0"/>
        <w:autoSpaceDE/>
        <w:autoSpaceDN/>
        <w:bidi w:val="0"/>
        <w:adjustRightInd/>
        <w:snapToGrid/>
        <w:spacing w:before="180" w:beforeAutospacing="0" w:after="150" w:afterAutospacing="0" w:line="560" w:lineRule="exact"/>
        <w:ind w:firstLine="640" w:firstLineChars="200"/>
        <w:textAlignment w:val="auto"/>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学院监督电话：郭老师 0791-83969654</w:t>
      </w:r>
    </w:p>
    <w:p>
      <w:pPr>
        <w:pStyle w:val="11"/>
        <w:keepNext w:val="0"/>
        <w:keepLines w:val="0"/>
        <w:pageBreakBefore w:val="0"/>
        <w:widowControl/>
        <w:kinsoku/>
        <w:wordWrap w:val="0"/>
        <w:overflowPunct/>
        <w:topLinePunct w:val="0"/>
        <w:autoSpaceDE/>
        <w:autoSpaceDN/>
        <w:bidi w:val="0"/>
        <w:adjustRightInd/>
        <w:snapToGrid/>
        <w:spacing w:before="180" w:beforeAutospacing="0" w:after="150" w:afterAutospacing="0" w:line="560" w:lineRule="exact"/>
        <w:ind w:firstLine="0" w:firstLineChars="0"/>
        <w:jc w:val="righ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 xml:space="preserve">工程建设学院  </w:t>
      </w:r>
    </w:p>
    <w:p>
      <w:pPr>
        <w:pStyle w:val="11"/>
        <w:keepNext w:val="0"/>
        <w:keepLines w:val="0"/>
        <w:pageBreakBefore w:val="0"/>
        <w:widowControl/>
        <w:kinsoku/>
        <w:overflowPunct/>
        <w:topLinePunct w:val="0"/>
        <w:autoSpaceDE/>
        <w:autoSpaceDN/>
        <w:bidi w:val="0"/>
        <w:adjustRightInd/>
        <w:snapToGrid/>
        <w:spacing w:before="180" w:beforeAutospacing="0" w:after="150" w:afterAutospacing="0" w:line="560" w:lineRule="exact"/>
        <w:ind w:firstLine="0" w:firstLineChars="0"/>
        <w:jc w:val="righ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2023年11月3日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8B155"/>
    <w:multiLevelType w:val="singleLevel"/>
    <w:tmpl w:val="CA58B155"/>
    <w:lvl w:ilvl="0" w:tentative="0">
      <w:start w:val="1"/>
      <w:numFmt w:val="decimalEnclosedCircleChinese"/>
      <w:suff w:val="nothing"/>
      <w:lvlText w:val="%1　"/>
      <w:lvlJc w:val="left"/>
      <w:pPr>
        <w:ind w:left="440" w:firstLine="400"/>
      </w:pPr>
      <w:rPr>
        <w:rFonts w:hint="eastAsia"/>
      </w:rPr>
    </w:lvl>
  </w:abstractNum>
  <w:abstractNum w:abstractNumId="1">
    <w:nsid w:val="CD8668DA"/>
    <w:multiLevelType w:val="singleLevel"/>
    <w:tmpl w:val="CD8668DA"/>
    <w:lvl w:ilvl="0" w:tentative="0">
      <w:start w:val="1"/>
      <w:numFmt w:val="chineseCounting"/>
      <w:suff w:val="nothing"/>
      <w:lvlText w:val="（%1）"/>
      <w:lvlJc w:val="left"/>
      <w:rPr>
        <w:rFonts w:hint="eastAsia"/>
      </w:rPr>
    </w:lvl>
  </w:abstractNum>
  <w:abstractNum w:abstractNumId="2">
    <w:nsid w:val="F7A1B9DC"/>
    <w:multiLevelType w:val="singleLevel"/>
    <w:tmpl w:val="F7A1B9DC"/>
    <w:lvl w:ilvl="0" w:tentative="0">
      <w:start w:val="3"/>
      <w:numFmt w:val="decimal"/>
      <w:lvlText w:val="(%1)"/>
      <w:lvlJc w:val="left"/>
      <w:pPr>
        <w:tabs>
          <w:tab w:val="left" w:pos="420"/>
        </w:tabs>
        <w:ind w:left="425" w:hanging="425"/>
      </w:pPr>
      <w:rPr>
        <w:rFonts w:hint="default"/>
      </w:rPr>
    </w:lvl>
  </w:abstractNum>
  <w:abstractNum w:abstractNumId="3">
    <w:nsid w:val="283BB719"/>
    <w:multiLevelType w:val="singleLevel"/>
    <w:tmpl w:val="283BB719"/>
    <w:lvl w:ilvl="0" w:tentative="0">
      <w:start w:val="1"/>
      <w:numFmt w:val="chineseCounting"/>
      <w:suff w:val="nothing"/>
      <w:lvlText w:val="%1、"/>
      <w:lvlJc w:val="left"/>
      <w:rPr>
        <w:rFonts w:hint="eastAsia"/>
      </w:rPr>
    </w:lvl>
  </w:abstractNum>
  <w:abstractNum w:abstractNumId="4">
    <w:nsid w:val="45E8E759"/>
    <w:multiLevelType w:val="singleLevel"/>
    <w:tmpl w:val="45E8E759"/>
    <w:lvl w:ilvl="0" w:tentative="0">
      <w:start w:val="1"/>
      <w:numFmt w:val="decimal"/>
      <w:suff w:val="nothing"/>
      <w:lvlText w:val="%1．"/>
      <w:lvlJc w:val="left"/>
      <w:pPr>
        <w:ind w:left="0" w:firstLine="400"/>
      </w:pPr>
      <w:rPr>
        <w:rFonts w:hint="default"/>
      </w:rPr>
    </w:lvl>
  </w:abstractNum>
  <w:abstractNum w:abstractNumId="5">
    <w:nsid w:val="61248963"/>
    <w:multiLevelType w:val="singleLevel"/>
    <w:tmpl w:val="61248963"/>
    <w:lvl w:ilvl="0" w:tentative="0">
      <w:start w:val="1"/>
      <w:numFmt w:val="decimal"/>
      <w:lvlText w:val="(%1)"/>
      <w:lvlJc w:val="left"/>
      <w:pPr>
        <w:ind w:left="425" w:hanging="425"/>
      </w:pPr>
      <w:rPr>
        <w:rFonts w:hint="default"/>
      </w:rPr>
    </w:lvl>
  </w:abstractNum>
  <w:abstractNum w:abstractNumId="6">
    <w:nsid w:val="6375F8F1"/>
    <w:multiLevelType w:val="singleLevel"/>
    <w:tmpl w:val="6375F8F1"/>
    <w:lvl w:ilvl="0" w:tentative="0">
      <w:start w:val="1"/>
      <w:numFmt w:val="chineseCounting"/>
      <w:suff w:val="nothing"/>
      <w:lvlText w:val="（%1）"/>
      <w:lvlJc w:val="left"/>
      <w:pPr>
        <w:ind w:left="0" w:firstLine="420"/>
      </w:pPr>
      <w:rPr>
        <w:rFonts w:hint="eastAsia" w:eastAsia="楷体_GB2312"/>
        <w:b/>
        <w:sz w:val="32"/>
        <w:szCs w:val="20"/>
      </w:rPr>
    </w:lvl>
  </w:abstractNum>
  <w:abstractNum w:abstractNumId="7">
    <w:nsid w:val="6DA99801"/>
    <w:multiLevelType w:val="singleLevel"/>
    <w:tmpl w:val="6DA99801"/>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DcwZGE3NWI1YjEwNmMyMmZlMTViNTVhN2ZiYmQifQ=="/>
  </w:docVars>
  <w:rsids>
    <w:rsidRoot w:val="1F56578C"/>
    <w:rsid w:val="00041587"/>
    <w:rsid w:val="000563E3"/>
    <w:rsid w:val="000A759F"/>
    <w:rsid w:val="000B357A"/>
    <w:rsid w:val="000C0964"/>
    <w:rsid w:val="00131C99"/>
    <w:rsid w:val="002F31FC"/>
    <w:rsid w:val="0040364E"/>
    <w:rsid w:val="00472F94"/>
    <w:rsid w:val="004A2CBE"/>
    <w:rsid w:val="004E24D7"/>
    <w:rsid w:val="005621BF"/>
    <w:rsid w:val="00621CC1"/>
    <w:rsid w:val="00666091"/>
    <w:rsid w:val="006D3CE7"/>
    <w:rsid w:val="006F610D"/>
    <w:rsid w:val="0073784D"/>
    <w:rsid w:val="0082241E"/>
    <w:rsid w:val="00930EDD"/>
    <w:rsid w:val="00AF30DE"/>
    <w:rsid w:val="00B5430E"/>
    <w:rsid w:val="00BB52DD"/>
    <w:rsid w:val="00C37FAA"/>
    <w:rsid w:val="00CB1E42"/>
    <w:rsid w:val="00CF6703"/>
    <w:rsid w:val="00D51DE3"/>
    <w:rsid w:val="00DD392F"/>
    <w:rsid w:val="00FE6841"/>
    <w:rsid w:val="0828199A"/>
    <w:rsid w:val="09A6526C"/>
    <w:rsid w:val="0B3D24FE"/>
    <w:rsid w:val="15302C08"/>
    <w:rsid w:val="1CF60C0F"/>
    <w:rsid w:val="1F3C6C26"/>
    <w:rsid w:val="1F56578C"/>
    <w:rsid w:val="26B33842"/>
    <w:rsid w:val="2ACE7D3E"/>
    <w:rsid w:val="2B7C5DC4"/>
    <w:rsid w:val="2BEC1AF9"/>
    <w:rsid w:val="2D3B2296"/>
    <w:rsid w:val="30005A21"/>
    <w:rsid w:val="31874F60"/>
    <w:rsid w:val="36260A17"/>
    <w:rsid w:val="3D4A148F"/>
    <w:rsid w:val="3E044CF5"/>
    <w:rsid w:val="3EB63280"/>
    <w:rsid w:val="42A511C8"/>
    <w:rsid w:val="496961E4"/>
    <w:rsid w:val="49937684"/>
    <w:rsid w:val="4C775C3E"/>
    <w:rsid w:val="4C9269AF"/>
    <w:rsid w:val="4E386132"/>
    <w:rsid w:val="553C31BD"/>
    <w:rsid w:val="57272B15"/>
    <w:rsid w:val="57D671E6"/>
    <w:rsid w:val="5BC21B0A"/>
    <w:rsid w:val="688F7950"/>
    <w:rsid w:val="6BB00B50"/>
    <w:rsid w:val="6FA17BA9"/>
    <w:rsid w:val="6FD650FB"/>
    <w:rsid w:val="707B2E79"/>
    <w:rsid w:val="70A1528F"/>
    <w:rsid w:val="72F349CA"/>
    <w:rsid w:val="775C06D6"/>
    <w:rsid w:val="7C25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3" w:firstLineChars="200"/>
      <w:outlineLvl w:val="0"/>
    </w:pPr>
    <w:rPr>
      <w:rFonts w:ascii="Calibri" w:hAnsi="Calibri" w:eastAsia="黑体" w:cs="Times New Roman"/>
      <w:b/>
      <w:kern w:val="44"/>
      <w:sz w:val="32"/>
    </w:rPr>
  </w:style>
  <w:style w:type="paragraph" w:styleId="4">
    <w:name w:val="heading 2"/>
    <w:basedOn w:val="1"/>
    <w:next w:val="1"/>
    <w:link w:val="15"/>
    <w:unhideWhenUsed/>
    <w:qFormat/>
    <w:uiPriority w:val="0"/>
    <w:pPr>
      <w:keepNext/>
      <w:keepLines/>
      <w:spacing w:beforeLines="0" w:beforeAutospacing="0" w:afterLines="0" w:afterAutospacing="0" w:line="560" w:lineRule="exact"/>
      <w:ind w:firstLine="883" w:firstLineChars="200"/>
      <w:outlineLvl w:val="1"/>
    </w:pPr>
    <w:rPr>
      <w:rFonts w:ascii="Times New Roman" w:hAnsi="Times New Roman" w:eastAsia="楷体_GB2312" w:cs="Times New Roman"/>
      <w:b/>
    </w:rPr>
  </w:style>
  <w:style w:type="paragraph" w:styleId="5">
    <w:name w:val="heading 3"/>
    <w:basedOn w:val="2"/>
    <w:next w:val="2"/>
    <w:unhideWhenUsed/>
    <w:qFormat/>
    <w:uiPriority w:val="0"/>
    <w:pPr>
      <w:keepNext/>
      <w:keepLines/>
      <w:spacing w:beforeLines="0" w:beforeAutospacing="0" w:afterLines="0" w:afterAutospacing="0" w:line="560" w:lineRule="exact"/>
      <w:outlineLvl w:val="2"/>
    </w:pPr>
    <w:rPr>
      <w:b/>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rPr>
  </w:style>
  <w:style w:type="paragraph" w:styleId="7">
    <w:name w:val="annotation text"/>
    <w:basedOn w:val="1"/>
    <w:qFormat/>
    <w:uiPriority w:val="0"/>
    <w:pPr>
      <w:jc w:val="left"/>
    </w:pPr>
  </w:style>
  <w:style w:type="paragraph" w:styleId="8">
    <w:name w:val="Balloon Text"/>
    <w:basedOn w:val="1"/>
    <w:link w:val="16"/>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Char"/>
    <w:link w:val="4"/>
    <w:qFormat/>
    <w:uiPriority w:val="0"/>
    <w:rPr>
      <w:rFonts w:ascii="Times New Roman" w:hAnsi="Times New Roman" w:eastAsia="楷体_GB2312" w:cs="Times New Roman"/>
      <w:b/>
      <w:sz w:val="32"/>
    </w:rPr>
  </w:style>
  <w:style w:type="character" w:customStyle="1" w:styleId="16">
    <w:name w:val="批注框文本 字符"/>
    <w:basedOn w:val="14"/>
    <w:link w:val="8"/>
    <w:qFormat/>
    <w:uiPriority w:val="0"/>
    <w:rPr>
      <w:rFonts w:asciiTheme="minorHAnsi" w:hAnsiTheme="minorHAnsi" w:eastAsiaTheme="minorEastAsia" w:cstheme="minorBidi"/>
      <w:kern w:val="2"/>
      <w:sz w:val="18"/>
      <w:szCs w:val="18"/>
    </w:rPr>
  </w:style>
  <w:style w:type="character" w:customStyle="1" w:styleId="17">
    <w:name w:val="页眉 字符"/>
    <w:basedOn w:val="14"/>
    <w:link w:val="10"/>
    <w:qFormat/>
    <w:uiPriority w:val="0"/>
    <w:rPr>
      <w:rFonts w:asciiTheme="minorHAnsi" w:hAnsiTheme="minorHAnsi" w:eastAsiaTheme="minorEastAsia" w:cstheme="minorBidi"/>
      <w:kern w:val="2"/>
      <w:sz w:val="18"/>
      <w:szCs w:val="18"/>
    </w:rPr>
  </w:style>
  <w:style w:type="character" w:customStyle="1" w:styleId="18">
    <w:name w:val="页脚 字符"/>
    <w:basedOn w:val="14"/>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3431</Words>
  <Characters>3594</Characters>
  <Lines>23</Lines>
  <Paragraphs>6</Paragraphs>
  <TotalTime>43</TotalTime>
  <ScaleCrop>false</ScaleCrop>
  <LinksUpToDate>false</LinksUpToDate>
  <CharactersWithSpaces>3620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2021-12-07T02:27:00Z</dcterms:created>
  <dc:creator>ciciliachen</dc:creator>
  <cp:lastModifiedBy>HP</cp:lastModifiedBy>
  <cp:lastPrinted>2023-12-11T09:38:24Z</cp:lastPrinted>
  <dcterms:modified xsi:type="dcterms:W3CDTF">2023-12-11T10:00:40Z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6282A83F62224C3B9547A619F088E4A0_13</vt:lpwstr>
  </property>
</Properties>
</file>