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288" w:lineRule="auto"/>
        <w:jc w:val="center"/>
        <w:rPr>
          <w:rFonts w:hint="eastAsia" w:ascii="黑体" w:hAnsi="黑体" w:eastAsia="黑体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/>
          <w:bCs/>
          <w:sz w:val="32"/>
          <w:szCs w:val="32"/>
          <w:lang w:val="en-US" w:eastAsia="zh-CN"/>
        </w:rPr>
        <w:t>黄  伟</w:t>
      </w:r>
    </w:p>
    <w:p>
      <w:pPr>
        <w:adjustRightInd w:val="0"/>
        <w:snapToGrid w:val="0"/>
        <w:spacing w:line="288" w:lineRule="auto"/>
        <w:ind w:firstLine="643" w:firstLineChars="200"/>
        <w:rPr>
          <w:rFonts w:hint="default" w:ascii="Times New Roman" w:hAnsi="Times New Roman" w:eastAsia="仿宋" w:cs="Times New Roman"/>
          <w:szCs w:val="22"/>
        </w:rPr>
      </w:pPr>
      <w:r>
        <w:rPr>
          <w:rFonts w:hint="eastAsia" w:ascii="黑体" w:hAnsi="黑体" w:eastAsia="黑体" w:cs="仿宋"/>
          <w:b/>
          <w:bCs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8890</wp:posOffset>
            </wp:positionV>
            <wp:extent cx="899795" cy="1259840"/>
            <wp:effectExtent l="0" t="0" r="14605" b="5080"/>
            <wp:wrapSquare wrapText="bothSides"/>
            <wp:docPr id="1" name="图片 1" descr="学位证相片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位证相片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" w:cs="Times New Roman"/>
          <w:szCs w:val="22"/>
        </w:rPr>
        <w:t>副教授，博士，硕士生导师，现任水工教研室副主任，南昌大学赣江青年学者，中国水力发电工程学会水工水力学专委会委员、南昌大学学报（工科版）青年编委。主要从事水工水力学、调水工程、水电站及抽水蓄能电站中的水力瞬变与调节控制研究。主持国家自然科学基金青年项目1项、国家重点研发计划子课题1项，省部级及横向课题10余项。参与国家重点研发计划、国家科技支撑计划、水利部行业公益研究专项、国家大型抽蓄电站及调水工程等课题10多项。发表论文40余篇，其中SCI/EI收录20多篇，参与专著或教材3部，授权发明专利20多项，新申请2项。获江西省科技进步二等奖1项，省部级以上教学奖励5项，校级教学奖励4项，国网新源控股有限公司科技进步一等奖，第十届全国水力学与水利信息学大会优秀青年论文奖等。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default" w:ascii="Times New Roman" w:hAnsi="Times New Roman" w:eastAsia="仿宋" w:cs="Times New Roman"/>
          <w:szCs w:val="22"/>
        </w:rPr>
      </w:pPr>
      <w:r>
        <w:rPr>
          <w:rFonts w:hint="default" w:ascii="Times New Roman" w:hAnsi="Times New Roman" w:eastAsia="仿宋" w:cs="Times New Roman"/>
          <w:szCs w:val="22"/>
        </w:rPr>
        <w:t>电子邮箱：</w:t>
      </w:r>
      <w:r>
        <w:rPr>
          <w:rFonts w:hint="default" w:ascii="Times New Roman" w:hAnsi="Times New Roman" w:eastAsia="仿宋" w:cs="Times New Roman"/>
          <w:szCs w:val="22"/>
          <w:lang w:val="en-US" w:eastAsia="zh-CN"/>
        </w:rPr>
        <w:t>huangwei0214</w:t>
      </w:r>
      <w:r>
        <w:rPr>
          <w:rFonts w:hint="default" w:ascii="Times New Roman" w:hAnsi="Times New Roman" w:eastAsia="仿宋" w:cs="Times New Roman"/>
          <w:szCs w:val="22"/>
        </w:rPr>
        <w:t>@ncu.edu.cn</w:t>
      </w:r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t>教育经历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ascii="Times New Roman" w:hAnsi="Times New Roman" w:eastAsia="仿宋" w:cs="Times New Roman"/>
          <w:color w:val="000000"/>
          <w:kern w:val="0"/>
          <w:szCs w:val="21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14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.09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-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201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8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，清华大学&amp;中国水利水电科学研究院联合培养，水利水电工程，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博士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ascii="Times New Roman" w:hAnsi="Times New Roman" w:eastAsia="仿宋" w:cs="Times New Roman"/>
          <w:color w:val="000000"/>
          <w:kern w:val="0"/>
          <w:szCs w:val="21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11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.09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-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14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.06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太原理工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大学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水利工程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硕士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2007.09-2011.06，太原理工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大学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水利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水电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工程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学士</w:t>
      </w:r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t>工作经历</w:t>
      </w:r>
    </w:p>
    <w:p>
      <w:pPr>
        <w:numPr>
          <w:ilvl w:val="0"/>
          <w:numId w:val="2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22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12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至今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，南昌大学，工程建设学院，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副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教授</w:t>
      </w:r>
    </w:p>
    <w:p>
      <w:pPr>
        <w:numPr>
          <w:ilvl w:val="0"/>
          <w:numId w:val="2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8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10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22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，南昌大学，工程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建设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学院，讲师</w:t>
      </w:r>
    </w:p>
    <w:p>
      <w:pPr>
        <w:snapToGrid w:val="0"/>
        <w:spacing w:before="156" w:beforeLines="50" w:line="288" w:lineRule="auto"/>
        <w:rPr>
          <w:rFonts w:ascii="Times New Roman" w:hAnsi="Times New Roman" w:eastAsia="仿宋" w:cs="Times New Roman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>代表性科研项目（限5项）：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hint="default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仿宋" w:cs="Times New Roman"/>
          <w:color w:val="000000"/>
          <w:kern w:val="0"/>
          <w:szCs w:val="21"/>
        </w:rPr>
        <w:t>国家自然科学基金青年项目，51909115，抽水蓄能电站调压室设置判据及关键参数的影响机制研究，2020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Cs w:val="21"/>
        </w:rPr>
        <w:t>01-2022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Cs w:val="21"/>
        </w:rPr>
        <w:t>12，主持。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国家重点研发计划子课题，2023YFC320940401，中线总干渠多工程多场景水力安全控制阈值研究，2023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12-2027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11，主持。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江西省自然科学基金面上项目，20232BAB204093，风-光-蓄互补发电系统协调运行机制及暂态特性研究——以江西省为例，2023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07-2026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06，主持。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江西省自然科学基金青年项目，20192BAB216038，抽水蓄能电站调压室设置判据及水泵水轮机全特性理论构建研究，2019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07-2022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07，主持。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江西省水利厅科技课题，202123YBKT04，山区高水头长距离供水管道能力提升关键技术研究，2021.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3-2023.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3，合作主持。</w:t>
      </w:r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代表性科研成果（限10项）：</w:t>
      </w:r>
    </w:p>
    <w:p>
      <w:pPr>
        <w:pStyle w:val="9"/>
        <w:numPr>
          <w:ilvl w:val="0"/>
          <w:numId w:val="4"/>
        </w:numPr>
        <w:ind w:left="420" w:hanging="420" w:firstLineChars="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bookmarkStart w:id="0" w:name="OLE_LINK28"/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Wei Huang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Kailin Yang, Jiming Ma, et al. A New Setting Criterion of Tailrace Surge Chambers for Pumped-Storage Power Plants. Renewable Energy, 2018, 116: 194-201. （SCI，TOP）</w:t>
      </w:r>
    </w:p>
    <w:p>
      <w:pPr>
        <w:pStyle w:val="9"/>
        <w:numPr>
          <w:ilvl w:val="0"/>
          <w:numId w:val="4"/>
        </w:numPr>
        <w:ind w:left="420" w:hanging="420" w:firstLineChars="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Li H, Liu B*, 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Huang W*,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 et al. Vibration load identification in the time-domain of high arch dam under discharge excitation based on hybrid LSQR algorithm[J]. Mechanical Systems and Signal Processing, 2022, 177: 109193. （SCI，TOP）</w:t>
      </w:r>
    </w:p>
    <w:p>
      <w:pPr>
        <w:pStyle w:val="9"/>
        <w:numPr>
          <w:ilvl w:val="0"/>
          <w:numId w:val="4"/>
        </w:numPr>
        <w:ind w:left="420" w:hanging="420" w:firstLineChars="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Huang, W.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Ma, J., Guo, X.*, et al. Stability criterion for mass oscillation in the surge tank of a hydropower station considering velocity head and throttle loss[J]. Energies, 2021, 14, 5247. （SCI）</w:t>
      </w:r>
    </w:p>
    <w:p>
      <w:pPr>
        <w:pStyle w:val="9"/>
        <w:numPr>
          <w:ilvl w:val="0"/>
          <w:numId w:val="4"/>
        </w:numPr>
        <w:ind w:left="420" w:hanging="420" w:firstLineChars="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Li, H., Lin, H., 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Huang, W.*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et al. A New Prediction Method for the Complete Characteristic Curves of Centrifugal Pumps[J]. Energies, 2021, 14, 8580.  （SCI）</w:t>
      </w:r>
    </w:p>
    <w:p>
      <w:pPr>
        <w:pStyle w:val="9"/>
        <w:numPr>
          <w:ilvl w:val="0"/>
          <w:numId w:val="4"/>
        </w:numPr>
        <w:ind w:left="420" w:hanging="420" w:firstLineChars="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Li H, Wang G*, Wei B, Liu H, 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Huang W*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. Improved variational mode decomposition method for vibration signal processing of flood discharge structure[J]. Journal of Vibration and Control, 2021: 10775463211016132. （SCI）</w:t>
      </w:r>
    </w:p>
    <w:p>
      <w:pPr>
        <w:pStyle w:val="9"/>
        <w:numPr>
          <w:ilvl w:val="0"/>
          <w:numId w:val="4"/>
        </w:numPr>
        <w:ind w:left="420" w:hanging="420" w:firstLineChars="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Dušan Bojović, 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Wei Huang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Zdravko Stojanović, Jovan Ilić. Review of existing pumped storage technologies and their application in the case of Bistrica PSP[C]. IRC 2023 XVII. International research conference proceedings, Amsterdam Netherlands September 11-12, 2023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.</w:t>
      </w:r>
    </w:p>
    <w:bookmarkEnd w:id="0"/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黄伟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杨开林, 郭新蕾*, 马吉明, 李甲振. 抽水蓄能电站极端甩负荷工况球阀协同调节[J]. 清华大学学报(自然科学版), 2019, 59(08): 635-644. （EI）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李火坤, 万子豪, 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黄伟*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曾敏, 方静, 谢杰. 中高水头水电站水轮机导叶关闭规律鲁棒性综合评价[J]. 清华大学学报(自然科学版), 2023, 63(01): 125-133.（EI）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 xml:space="preserve">李火坤, 柯贤勇, 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黄伟*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, 刘双平, 唐义员, 方静. 基于GPR代理模型和GA-APSO混合优化算法的软基水闸底板脱空反演[J]. 振动与冲击, 2023, 42(14): 1-10+29.（EI）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基于VMD分解的水电站甩</w:t>
      </w:r>
      <w:bookmarkStart w:id="1" w:name="_GoBack"/>
      <w:bookmarkEnd w:id="1"/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负荷过渡过程反演分析，第十届全国水力学与水利信息学大会优秀青年论文，2022.11.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排名第1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）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887599"/>
    <w:multiLevelType w:val="multilevel"/>
    <w:tmpl w:val="1B887599"/>
    <w:lvl w:ilvl="0" w:tentative="0">
      <w:start w:val="1"/>
      <w:numFmt w:val="decimal"/>
      <w:lvlText w:val="(%1)"/>
      <w:lvlJc w:val="left"/>
      <w:pPr>
        <w:ind w:left="1433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3D605790"/>
    <w:multiLevelType w:val="multilevel"/>
    <w:tmpl w:val="3D605790"/>
    <w:lvl w:ilvl="0" w:tentative="0">
      <w:start w:val="1"/>
      <w:numFmt w:val="decimal"/>
      <w:lvlText w:val="(%1)"/>
      <w:lvlJc w:val="left"/>
      <w:pPr>
        <w:ind w:left="1008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59BE24E6"/>
    <w:multiLevelType w:val="multilevel"/>
    <w:tmpl w:val="59BE24E6"/>
    <w:lvl w:ilvl="0" w:tentative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62E1167C"/>
    <w:multiLevelType w:val="multilevel"/>
    <w:tmpl w:val="62E1167C"/>
    <w:lvl w:ilvl="0" w:tentative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YmY4ZmJkZjNmYmVkYWE2ZDQ4YjZjMjkyMzU5YmQifQ=="/>
  </w:docVars>
  <w:rsids>
    <w:rsidRoot w:val="00172A27"/>
    <w:rsid w:val="00072FDC"/>
    <w:rsid w:val="000811DE"/>
    <w:rsid w:val="000B32F7"/>
    <w:rsid w:val="000F6F02"/>
    <w:rsid w:val="00121C77"/>
    <w:rsid w:val="00135E07"/>
    <w:rsid w:val="00193112"/>
    <w:rsid w:val="00263BE6"/>
    <w:rsid w:val="003D6B60"/>
    <w:rsid w:val="00403C3E"/>
    <w:rsid w:val="004239F2"/>
    <w:rsid w:val="00481A9F"/>
    <w:rsid w:val="0052519C"/>
    <w:rsid w:val="005A50B8"/>
    <w:rsid w:val="005B467C"/>
    <w:rsid w:val="006B2562"/>
    <w:rsid w:val="006C71E0"/>
    <w:rsid w:val="00791625"/>
    <w:rsid w:val="00841358"/>
    <w:rsid w:val="00955246"/>
    <w:rsid w:val="009C4E63"/>
    <w:rsid w:val="009F156F"/>
    <w:rsid w:val="00A227EB"/>
    <w:rsid w:val="00A25533"/>
    <w:rsid w:val="00A5709D"/>
    <w:rsid w:val="00B0588A"/>
    <w:rsid w:val="00B47DA3"/>
    <w:rsid w:val="00B7503F"/>
    <w:rsid w:val="00BD2510"/>
    <w:rsid w:val="00C60956"/>
    <w:rsid w:val="00CC08AF"/>
    <w:rsid w:val="00D15C55"/>
    <w:rsid w:val="00D417EE"/>
    <w:rsid w:val="00D90AC8"/>
    <w:rsid w:val="00DA7B2D"/>
    <w:rsid w:val="00E50EF4"/>
    <w:rsid w:val="00F10CF2"/>
    <w:rsid w:val="00F3026E"/>
    <w:rsid w:val="00FF6F25"/>
    <w:rsid w:val="033C2BF5"/>
    <w:rsid w:val="076B1CFB"/>
    <w:rsid w:val="07B812A2"/>
    <w:rsid w:val="0D135BD7"/>
    <w:rsid w:val="19AC0851"/>
    <w:rsid w:val="1BCA303C"/>
    <w:rsid w:val="1FB931AC"/>
    <w:rsid w:val="277A3B68"/>
    <w:rsid w:val="34EA779F"/>
    <w:rsid w:val="36957F17"/>
    <w:rsid w:val="48272233"/>
    <w:rsid w:val="4F526E4D"/>
    <w:rsid w:val="52EB41CD"/>
    <w:rsid w:val="55A35789"/>
    <w:rsid w:val="56DC6B21"/>
    <w:rsid w:val="5CA23B1C"/>
    <w:rsid w:val="5CAB48EE"/>
    <w:rsid w:val="649E018F"/>
    <w:rsid w:val="666920D7"/>
    <w:rsid w:val="68996CA3"/>
    <w:rsid w:val="704A7047"/>
    <w:rsid w:val="7478314C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2588</Characters>
  <Lines>21</Lines>
  <Paragraphs>6</Paragraphs>
  <TotalTime>3</TotalTime>
  <ScaleCrop>false</ScaleCrop>
  <LinksUpToDate>false</LinksUpToDate>
  <CharactersWithSpaces>3036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2023-12-22T03:24:00Z</dcterms:created>
  <dc:creator>NCU-SLX</dc:creator>
  <cp:lastModifiedBy>黄伟</cp:lastModifiedBy>
  <dcterms:modified xsi:type="dcterms:W3CDTF">2023-12-22T15:07:23Z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DF0840ECF7ED49F5BC65A2F4E7771BE5_13</vt:lpwstr>
  </property>
</Properties>
</file>