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 w:line="288" w:lineRule="auto"/>
        <w:jc w:val="center"/>
        <w:rPr>
          <w:rFonts w:ascii="仿宋" w:eastAsia="仿宋" w:cs="仿宋"/>
          <w:b/>
          <w:bCs/>
          <w:sz w:val="28"/>
          <w:szCs w:val="28"/>
        </w:rPr>
      </w:pPr>
      <w:r>
        <w:pict>
          <v:shape id="_x0000_s1026" o:spid="_x0000_s1026" o:spt="202" type="#_x0000_t202" style="position:absolute;left:0pt;margin-left:327.55pt;margin-top:12.6pt;height:127.35pt;width:107.5pt;mso-wrap-distance-bottom:0pt;mso-wrap-distance-left:9.05pt;mso-wrap-distance-right:9.05pt;mso-wrap-distance-top:0pt;z-index:251659264;mso-width-relative:page;mso-height-relative:page;" coordsize="21600,21600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ascii="仿宋_GB2312" w:hAnsi="Calibri" w:eastAsia="仿宋_GB2312" w:cs="仿宋_GB2312"/>
                      <w:kern w:val="0"/>
                      <w:sz w:val="24"/>
                      <w:szCs w:val="24"/>
                    </w:rPr>
                    <w:pict>
                      <v:shape id="_x0000_i1025" o:spt="75" alt="20160303王惠宾(1)" type="#_x0000_t75" style="height:123pt;width:93.75pt;" filled="f" o:preferrelative="t" stroked="f" coordsize="21600,21600">
                        <v:path/>
                        <v:fill on="f" focussize="0,0"/>
                        <v:stroke on="f" joinstyle="miter"/>
                        <v:imagedata r:id="rId4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  <w10:wrap type="square" side="left"/>
          </v:shape>
        </w:pict>
      </w:r>
      <w:r>
        <w:rPr>
          <w:rFonts w:hint="eastAsia"/>
          <w:b/>
          <w:bCs/>
          <w:sz w:val="28"/>
          <w:szCs w:val="28"/>
        </w:rPr>
        <w:t>王惠宾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教授级高级工程师，硕士，硕士生导师，中共南昌大学直属设计研究院支部书记、江西南大建筑施工图设计审查中心主任，国家一级注册结构工程师。主要从事高层建筑超限、结构抗震、工程防灾、工程鉴定与加固等的研究。</w:t>
      </w:r>
    </w:p>
    <w:p>
      <w:pPr>
        <w:adjustRightInd w:val="0"/>
        <w:snapToGrid w:val="0"/>
        <w:spacing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E-mail:</w:t>
      </w:r>
      <w:r>
        <w:rPr>
          <w:sz w:val="24"/>
        </w:rPr>
        <w:t>454727544@qq.com</w:t>
      </w:r>
    </w:p>
    <w:p>
      <w:pPr>
        <w:snapToGrid w:val="0"/>
        <w:spacing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教育经历：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(1)1987-09</w:t>
      </w:r>
      <w:r>
        <w:rPr>
          <w:rFonts w:hint="eastAsia" w:ascii="仿宋" w:hAnsi="仿宋" w:eastAsia="仿宋" w:cs="仿宋"/>
          <w:szCs w:val="21"/>
        </w:rPr>
        <w:t>至</w:t>
      </w:r>
      <w:r>
        <w:rPr>
          <w:rFonts w:ascii="仿宋" w:hAnsi="仿宋" w:eastAsia="仿宋" w:cs="仿宋"/>
          <w:szCs w:val="21"/>
        </w:rPr>
        <w:t>1991-06</w:t>
      </w:r>
      <w:r>
        <w:rPr>
          <w:rFonts w:hint="eastAsia" w:ascii="仿宋" w:hAnsi="仿宋" w:eastAsia="仿宋" w:cs="仿宋"/>
          <w:szCs w:val="21"/>
        </w:rPr>
        <w:t>，湖南大学，工业与民用建筑专业，学士</w:t>
      </w:r>
      <w:r>
        <w:rPr>
          <w:rFonts w:ascii="仿宋" w:hAnsi="仿宋" w:eastAsia="仿宋" w:cs="仿宋"/>
          <w:szCs w:val="21"/>
        </w:rPr>
        <w:t xml:space="preserve"> 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(2)2003.09</w:t>
      </w:r>
      <w:r>
        <w:rPr>
          <w:rFonts w:hint="eastAsia" w:ascii="仿宋" w:hAnsi="仿宋" w:eastAsia="仿宋" w:cs="仿宋"/>
          <w:szCs w:val="21"/>
        </w:rPr>
        <w:t>至</w:t>
      </w:r>
      <w:r>
        <w:rPr>
          <w:rFonts w:ascii="仿宋" w:hAnsi="仿宋" w:eastAsia="仿宋" w:cs="仿宋"/>
          <w:szCs w:val="21"/>
        </w:rPr>
        <w:t>2006-01</w:t>
      </w:r>
      <w:r>
        <w:rPr>
          <w:rFonts w:hint="eastAsia" w:ascii="仿宋" w:hAnsi="仿宋" w:eastAsia="仿宋" w:cs="仿宋"/>
          <w:szCs w:val="21"/>
        </w:rPr>
        <w:t>，南昌大学，结构工程专业，硕士</w:t>
      </w:r>
      <w:r>
        <w:rPr>
          <w:rFonts w:ascii="仿宋" w:hAnsi="仿宋" w:eastAsia="仿宋" w:cs="仿宋"/>
          <w:szCs w:val="21"/>
        </w:rPr>
        <w:t xml:space="preserve"> </w:t>
      </w:r>
    </w:p>
    <w:p>
      <w:pPr>
        <w:snapToGrid w:val="0"/>
        <w:spacing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科研与学术工作经历：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(1)2002.06</w:t>
      </w:r>
      <w:r>
        <w:rPr>
          <w:rFonts w:hint="eastAsia" w:ascii="仿宋" w:hAnsi="仿宋" w:eastAsia="仿宋" w:cs="仿宋"/>
          <w:szCs w:val="21"/>
        </w:rPr>
        <w:t>至今</w:t>
      </w:r>
      <w:r>
        <w:rPr>
          <w:rFonts w:ascii="仿宋" w:hAnsi="仿宋" w:eastAsia="仿宋" w:cs="仿宋"/>
          <w:szCs w:val="21"/>
        </w:rPr>
        <w:t xml:space="preserve">, </w:t>
      </w:r>
      <w:r>
        <w:rPr>
          <w:rFonts w:hint="eastAsia" w:ascii="仿宋" w:hAnsi="仿宋" w:eastAsia="仿宋" w:cs="仿宋"/>
          <w:szCs w:val="21"/>
        </w:rPr>
        <w:t>南昌大学设计研究院，高级工程师、教授级高级工程师，国家一级注册结构工程师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(2)2015.09</w:t>
      </w:r>
      <w:r>
        <w:rPr>
          <w:rFonts w:hint="eastAsia" w:ascii="仿宋" w:hAnsi="仿宋" w:eastAsia="仿宋" w:cs="仿宋"/>
          <w:szCs w:val="21"/>
        </w:rPr>
        <w:t>至</w:t>
      </w:r>
      <w:bookmarkStart w:id="0" w:name="_GoBack"/>
      <w:r>
        <w:rPr>
          <w:rFonts w:hint="eastAsia" w:ascii="仿宋" w:hAnsi="仿宋" w:eastAsia="仿宋" w:cs="仿宋"/>
          <w:color w:val="auto"/>
          <w:szCs w:val="21"/>
        </w:rPr>
        <w:t>今，南昌大学建筑工程学院、工程建设学院，</w:t>
      </w:r>
      <w:bookmarkEnd w:id="0"/>
      <w:r>
        <w:rPr>
          <w:rFonts w:hint="eastAsia" w:ascii="仿宋" w:hAnsi="仿宋" w:eastAsia="仿宋" w:cs="仿宋"/>
          <w:szCs w:val="21"/>
        </w:rPr>
        <w:t>硕士生导师</w:t>
      </w:r>
    </w:p>
    <w:p>
      <w:pPr>
        <w:snapToGrid w:val="0"/>
        <w:spacing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代表性科研项目</w:t>
      </w:r>
      <w:r>
        <w:rPr>
          <w:rFonts w:ascii="仿宋" w:hAnsi="仿宋" w:eastAsia="仿宋" w:cs="仿宋"/>
          <w:b/>
          <w:bCs/>
          <w:sz w:val="24"/>
          <w:szCs w:val="24"/>
        </w:rPr>
        <w:t>/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课题（限</w:t>
      </w:r>
      <w:r>
        <w:rPr>
          <w:rFonts w:ascii="仿宋" w:hAnsi="仿宋" w:eastAsia="仿宋" w:cs="仿宋"/>
          <w:b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项）</w:t>
      </w:r>
      <w:r>
        <w:rPr>
          <w:rFonts w:hint="eastAsia" w:ascii="仿宋" w:hAnsi="仿宋" w:eastAsia="仿宋" w:cs="仿宋"/>
          <w:szCs w:val="21"/>
        </w:rPr>
        <w:t>：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(1)</w:t>
      </w:r>
      <w:r>
        <w:rPr>
          <w:rFonts w:hint="eastAsia" w:ascii="仿宋" w:hAnsi="仿宋" w:eastAsia="仿宋" w:cs="仿宋"/>
          <w:szCs w:val="21"/>
        </w:rPr>
        <w:t>重大横向课题：华润青山湖</w:t>
      </w:r>
      <w:r>
        <w:rPr>
          <w:rFonts w:ascii="仿宋" w:hAnsi="仿宋" w:eastAsia="仿宋" w:cs="仿宋"/>
          <w:szCs w:val="21"/>
        </w:rPr>
        <w:t>T1</w:t>
      </w:r>
      <w:r>
        <w:rPr>
          <w:rFonts w:hint="eastAsia" w:ascii="仿宋" w:hAnsi="仿宋" w:eastAsia="仿宋" w:cs="仿宋"/>
          <w:szCs w:val="21"/>
        </w:rPr>
        <w:t>号楼超限高层项目研究，</w:t>
      </w:r>
      <w:r>
        <w:rPr>
          <w:rFonts w:ascii="仿宋" w:hAnsi="仿宋" w:eastAsia="仿宋" w:cs="仿宋"/>
          <w:szCs w:val="21"/>
        </w:rPr>
        <w:t>2019.09~2020.02</w:t>
      </w:r>
      <w:r>
        <w:rPr>
          <w:rFonts w:hint="eastAsia" w:ascii="仿宋" w:hAnsi="仿宋" w:eastAsia="仿宋" w:cs="仿宋"/>
          <w:szCs w:val="21"/>
        </w:rPr>
        <w:t>，主持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(2)</w:t>
      </w:r>
      <w:r>
        <w:rPr>
          <w:rFonts w:hint="eastAsia" w:ascii="仿宋" w:hAnsi="仿宋" w:eastAsia="仿宋" w:cs="仿宋"/>
          <w:szCs w:val="21"/>
        </w:rPr>
        <w:t>重大横向课题：赣州城市广场超限高层项目研究，</w:t>
      </w:r>
      <w:r>
        <w:rPr>
          <w:rFonts w:ascii="仿宋" w:hAnsi="仿宋" w:eastAsia="仿宋" w:cs="仿宋"/>
          <w:szCs w:val="21"/>
        </w:rPr>
        <w:t>2020.02~2020.06</w:t>
      </w:r>
      <w:r>
        <w:rPr>
          <w:rFonts w:hint="eastAsia" w:ascii="仿宋" w:hAnsi="仿宋" w:eastAsia="仿宋" w:cs="仿宋"/>
          <w:szCs w:val="21"/>
        </w:rPr>
        <w:t>，主持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(3)</w:t>
      </w:r>
      <w:r>
        <w:rPr>
          <w:rFonts w:hint="eastAsia" w:ascii="仿宋" w:hAnsi="仿宋" w:eastAsia="仿宋" w:cs="仿宋"/>
          <w:szCs w:val="21"/>
        </w:rPr>
        <w:t>重大横向课题：赣电中心超限高层项目研究，</w:t>
      </w:r>
      <w:r>
        <w:rPr>
          <w:rFonts w:ascii="仿宋" w:hAnsi="仿宋" w:eastAsia="仿宋" w:cs="仿宋"/>
          <w:szCs w:val="21"/>
        </w:rPr>
        <w:t>2020.12~2021.04</w:t>
      </w:r>
      <w:r>
        <w:rPr>
          <w:rFonts w:hint="eastAsia" w:ascii="仿宋" w:hAnsi="仿宋" w:eastAsia="仿宋" w:cs="仿宋"/>
          <w:szCs w:val="21"/>
        </w:rPr>
        <w:t>，主持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(4)</w:t>
      </w:r>
      <w:r>
        <w:rPr>
          <w:rFonts w:hint="eastAsia" w:ascii="仿宋" w:hAnsi="仿宋" w:eastAsia="仿宋" w:cs="仿宋"/>
          <w:szCs w:val="21"/>
        </w:rPr>
        <w:t>重大横向课题：赣州富力现代城超限高层项目研究，</w:t>
      </w:r>
      <w:r>
        <w:rPr>
          <w:rFonts w:ascii="仿宋" w:hAnsi="仿宋" w:eastAsia="仿宋" w:cs="仿宋"/>
          <w:szCs w:val="21"/>
        </w:rPr>
        <w:t>2021.02~2021.08</w:t>
      </w:r>
      <w:r>
        <w:rPr>
          <w:rFonts w:hint="eastAsia" w:ascii="仿宋" w:hAnsi="仿宋" w:eastAsia="仿宋" w:cs="仿宋"/>
          <w:szCs w:val="21"/>
        </w:rPr>
        <w:t>，主持</w:t>
      </w:r>
    </w:p>
    <w:p>
      <w:pPr>
        <w:widowControl/>
        <w:jc w:val="left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(5)</w:t>
      </w:r>
      <w:r>
        <w:rPr>
          <w:rFonts w:hint="eastAsia" w:ascii="仿宋" w:hAnsi="仿宋" w:eastAsia="仿宋" w:cs="仿宋"/>
          <w:szCs w:val="21"/>
        </w:rPr>
        <w:t>重大横向课题：保利星洲润达超限高层项目研究，</w:t>
      </w:r>
      <w:r>
        <w:rPr>
          <w:rFonts w:ascii="仿宋" w:hAnsi="仿宋" w:eastAsia="仿宋" w:cs="仿宋"/>
          <w:szCs w:val="21"/>
        </w:rPr>
        <w:t>2021.10~2022.03</w:t>
      </w:r>
      <w:r>
        <w:rPr>
          <w:rFonts w:hint="eastAsia" w:ascii="仿宋" w:hAnsi="仿宋" w:eastAsia="仿宋" w:cs="仿宋"/>
          <w:szCs w:val="21"/>
        </w:rPr>
        <w:t>，主持</w:t>
      </w:r>
    </w:p>
    <w:p>
      <w:pPr>
        <w:snapToGrid w:val="0"/>
        <w:spacing w:beforeLines="50"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代表性科研成果（限</w:t>
      </w:r>
      <w:r>
        <w:rPr>
          <w:rFonts w:ascii="仿宋" w:hAnsi="仿宋" w:eastAsia="仿宋" w:cs="仿宋"/>
          <w:b/>
          <w:bCs/>
          <w:sz w:val="24"/>
          <w:szCs w:val="24"/>
        </w:rPr>
        <w:t>10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项）：</w:t>
      </w:r>
      <w:r>
        <w:rPr>
          <w:rFonts w:ascii="仿宋" w:hAnsi="仿宋" w:eastAsia="仿宋" w:cs="仿宋"/>
          <w:szCs w:val="21"/>
        </w:rPr>
        <w:t xml:space="preserve">  </w:t>
      </w:r>
    </w:p>
    <w:p>
      <w:pPr>
        <w:snapToGrid w:val="0"/>
        <w:spacing w:line="288" w:lineRule="auto"/>
      </w:pPr>
      <w:r>
        <w:rPr>
          <w:rFonts w:ascii="仿宋" w:hAnsi="仿宋" w:eastAsia="仿宋" w:cs="仿宋"/>
          <w:szCs w:val="21"/>
        </w:rPr>
        <w:t>(1)</w:t>
      </w:r>
      <w:r>
        <w:rPr>
          <w:rFonts w:hint="eastAsia" w:ascii="仿宋" w:hAnsi="仿宋" w:eastAsia="仿宋" w:cs="仿宋"/>
          <w:szCs w:val="21"/>
        </w:rPr>
        <w:t>技术标准：</w:t>
      </w:r>
      <w:r>
        <w:rPr>
          <w:rFonts w:hint="eastAsia" w:ascii="仿宋_GB2312" w:eastAsia="仿宋_GB2312" w:cs="Times New Roman"/>
          <w:szCs w:val="21"/>
        </w:rPr>
        <w:t>《高延性混凝土加固技术标准》，江西省建设工程勘察协会团体标准</w:t>
      </w:r>
      <w:r>
        <w:rPr>
          <w:rFonts w:ascii="仿宋_GB2312" w:eastAsia="仿宋_GB2312" w:cs="Times New Roman"/>
          <w:szCs w:val="21"/>
        </w:rPr>
        <w:t>T/JXEIDA 50001-2021</w:t>
      </w:r>
      <w:r>
        <w:rPr>
          <w:rFonts w:hint="eastAsia" w:ascii="仿宋_GB2312" w:eastAsia="仿宋_GB2312" w:cs="Times New Roman"/>
          <w:szCs w:val="21"/>
        </w:rPr>
        <w:t>，</w:t>
      </w:r>
      <w:r>
        <w:rPr>
          <w:rFonts w:ascii="仿宋_GB2312" w:eastAsia="仿宋_GB2312" w:cs="Times New Roman"/>
          <w:szCs w:val="21"/>
        </w:rPr>
        <w:t>2022.11</w:t>
      </w:r>
      <w:r>
        <w:rPr>
          <w:rFonts w:hint="eastAsia" w:ascii="仿宋_GB2312" w:eastAsia="仿宋_GB2312" w:cs="Times New Roman"/>
          <w:szCs w:val="21"/>
        </w:rPr>
        <w:t>，主要编委。</w:t>
      </w:r>
    </w:p>
    <w:p>
      <w:pPr>
        <w:snapToGrid w:val="0"/>
        <w:spacing w:line="288" w:lineRule="auto"/>
      </w:pPr>
      <w:r>
        <w:rPr>
          <w:rFonts w:ascii="仿宋" w:hAnsi="仿宋" w:eastAsia="仿宋" w:cs="仿宋"/>
          <w:szCs w:val="21"/>
        </w:rPr>
        <w:t>(2)</w:t>
      </w:r>
      <w:r>
        <w:rPr>
          <w:rFonts w:hint="eastAsia" w:ascii="仿宋" w:hAnsi="仿宋" w:eastAsia="仿宋" w:cs="仿宋"/>
          <w:szCs w:val="21"/>
        </w:rPr>
        <w:t>技术标准：</w:t>
      </w:r>
      <w:r>
        <w:rPr>
          <w:rFonts w:hint="eastAsia" w:ascii="仿宋_GB2312" w:hAnsi="仿宋_GB2312" w:eastAsia="仿宋_GB2312" w:cs="仿宋_GB2312"/>
          <w:spacing w:val="-2"/>
          <w:szCs w:val="21"/>
        </w:rPr>
        <w:t>《旋挖桩植入技术标准》，江西省土木建筑学会团体标准</w:t>
      </w:r>
      <w:r>
        <w:rPr>
          <w:rFonts w:ascii="仿宋_GB2312" w:hAnsi="仿宋_GB2312" w:eastAsia="仿宋_GB2312" w:cs="仿宋_GB2312"/>
          <w:spacing w:val="-2"/>
          <w:szCs w:val="21"/>
        </w:rPr>
        <w:t>T/JXTM003-2022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</w:t>
      </w:r>
      <w:r>
        <w:rPr>
          <w:rFonts w:ascii="仿宋_GB2312" w:hAnsi="仿宋_GB2312" w:eastAsia="仿宋_GB2312" w:cs="仿宋_GB2312"/>
          <w:spacing w:val="-2"/>
          <w:szCs w:val="21"/>
        </w:rPr>
        <w:t>2022.04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，主要编委。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(3)</w:t>
      </w:r>
      <w:r>
        <w:rPr>
          <w:rFonts w:hint="eastAsia" w:ascii="仿宋" w:hAnsi="仿宋" w:eastAsia="仿宋" w:cs="仿宋"/>
          <w:szCs w:val="21"/>
        </w:rPr>
        <w:t>技术标准：</w:t>
      </w:r>
      <w:r>
        <w:rPr>
          <w:rFonts w:hint="eastAsia" w:ascii="仿宋_GB2312" w:hAnsi="仿宋_GB2312" w:eastAsia="仿宋_GB2312" w:cs="仿宋_GB2312"/>
          <w:spacing w:val="-2"/>
          <w:szCs w:val="21"/>
        </w:rPr>
        <w:t>《建筑与市政地基基础技术标准》，江西省工程建设标准</w:t>
      </w:r>
      <w:r>
        <w:rPr>
          <w:rFonts w:ascii="仿宋_GB2312" w:hAnsi="仿宋_GB2312" w:eastAsia="仿宋_GB2312" w:cs="仿宋_GB2312"/>
          <w:spacing w:val="-2"/>
          <w:szCs w:val="21"/>
        </w:rPr>
        <w:t>DBJ/T36-061-2021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</w:t>
      </w:r>
      <w:r>
        <w:rPr>
          <w:rFonts w:ascii="仿宋_GB2312" w:hAnsi="仿宋_GB2312" w:eastAsia="仿宋_GB2312" w:cs="仿宋_GB2312"/>
          <w:spacing w:val="-2"/>
          <w:szCs w:val="21"/>
        </w:rPr>
        <w:t>2021.06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，主要编委。</w:t>
      </w:r>
    </w:p>
    <w:p>
      <w:pPr>
        <w:snapToGrid w:val="0"/>
        <w:spacing w:line="288" w:lineRule="auto"/>
        <w:rPr>
          <w:rFonts w:ascii="仿宋_GB2312" w:hAnsi="仿宋_GB2312" w:eastAsia="仿宋_GB2312" w:cs="仿宋_GB2312"/>
          <w:spacing w:val="-2"/>
          <w:szCs w:val="21"/>
        </w:rPr>
      </w:pPr>
      <w:r>
        <w:rPr>
          <w:rFonts w:ascii="仿宋" w:hAnsi="仿宋" w:eastAsia="仿宋" w:cs="仿宋"/>
          <w:szCs w:val="21"/>
        </w:rPr>
        <w:t>(4)</w:t>
      </w:r>
      <w:r>
        <w:rPr>
          <w:rFonts w:hint="eastAsia" w:ascii="仿宋" w:hAnsi="仿宋" w:eastAsia="仿宋" w:cs="仿宋"/>
          <w:szCs w:val="21"/>
        </w:rPr>
        <w:t>实用新型专利：</w:t>
      </w:r>
      <w:r>
        <w:rPr>
          <w:rFonts w:hint="eastAsia" w:ascii="仿宋_GB2312" w:hAnsi="仿宋_GB2312" w:eastAsia="仿宋_GB2312" w:cs="仿宋_GB2312"/>
          <w:spacing w:val="-2"/>
          <w:szCs w:val="21"/>
        </w:rPr>
        <w:t>《数字化审图中可配置动态图纸辅助上传装置》，</w:t>
      </w:r>
      <w:r>
        <w:rPr>
          <w:rFonts w:ascii="仿宋_GB2312" w:hAnsi="仿宋_GB2312" w:eastAsia="仿宋_GB2312" w:cs="仿宋_GB2312"/>
          <w:spacing w:val="-2"/>
          <w:szCs w:val="21"/>
        </w:rPr>
        <w:t>ZL 2020 2 2560521.6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</w:t>
      </w:r>
      <w:r>
        <w:rPr>
          <w:rFonts w:ascii="仿宋_GB2312" w:hAnsi="仿宋_GB2312" w:eastAsia="仿宋_GB2312" w:cs="仿宋_GB2312"/>
          <w:spacing w:val="-2"/>
          <w:szCs w:val="21"/>
        </w:rPr>
        <w:t>2020.11</w:t>
      </w:r>
      <w:r>
        <w:rPr>
          <w:rFonts w:hint="eastAsia" w:ascii="仿宋_GB2312" w:hAnsi="仿宋_GB2312" w:eastAsia="仿宋_GB2312" w:cs="仿宋_GB2312"/>
          <w:spacing w:val="-2"/>
          <w:szCs w:val="21"/>
        </w:rPr>
        <w:t>，第一专利权人。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(5)</w:t>
      </w:r>
      <w:r>
        <w:rPr>
          <w:rFonts w:hint="eastAsia" w:ascii="仿宋" w:hAnsi="仿宋" w:eastAsia="仿宋" w:cs="仿宋"/>
          <w:szCs w:val="21"/>
        </w:rPr>
        <w:t>著作：《高富水砂砾层深基坑工程设计与实践》</w:t>
      </w:r>
      <w:r>
        <w:rPr>
          <w:rFonts w:ascii="仿宋" w:hAnsi="仿宋" w:eastAsia="仿宋" w:cs="仿宋"/>
          <w:szCs w:val="21"/>
        </w:rPr>
        <w:t>2017.12</w:t>
      </w:r>
      <w:r>
        <w:rPr>
          <w:rFonts w:hint="eastAsia" w:ascii="仿宋" w:hAnsi="仿宋" w:eastAsia="仿宋" w:cs="仿宋"/>
          <w:szCs w:val="21"/>
        </w:rPr>
        <w:t>，主要编委。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(6)</w:t>
      </w:r>
      <w:r>
        <w:rPr>
          <w:rFonts w:hint="eastAsia" w:ascii="仿宋" w:hAnsi="仿宋" w:eastAsia="仿宋" w:cs="仿宋"/>
          <w:szCs w:val="21"/>
        </w:rPr>
        <w:t>王惠宾，朱江，熊进刚，骆乐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楼板参数对</w:t>
      </w:r>
      <w:r>
        <w:rPr>
          <w:rFonts w:ascii="仿宋" w:hAnsi="仿宋" w:eastAsia="仿宋" w:cs="仿宋"/>
          <w:szCs w:val="21"/>
        </w:rPr>
        <w:t>RC</w:t>
      </w:r>
      <w:r>
        <w:rPr>
          <w:rFonts w:hint="eastAsia" w:ascii="仿宋" w:hAnsi="仿宋" w:eastAsia="仿宋" w:cs="仿宋"/>
          <w:szCs w:val="21"/>
        </w:rPr>
        <w:t>框架结构抗侧屈服机制影响非线性分析</w:t>
      </w:r>
      <w:r>
        <w:rPr>
          <w:rFonts w:ascii="仿宋" w:hAnsi="仿宋" w:eastAsia="仿宋" w:cs="仿宋"/>
          <w:szCs w:val="21"/>
        </w:rPr>
        <w:t>[J].</w:t>
      </w:r>
      <w:r>
        <w:rPr>
          <w:rFonts w:hint="eastAsia" w:ascii="仿宋" w:hAnsi="仿宋" w:eastAsia="仿宋" w:cs="仿宋"/>
          <w:szCs w:val="21"/>
        </w:rPr>
        <w:t>南昌大学学报（理科版），</w:t>
      </w:r>
      <w:r>
        <w:rPr>
          <w:rFonts w:ascii="仿宋" w:hAnsi="仿宋" w:eastAsia="仿宋" w:cs="仿宋"/>
          <w:szCs w:val="21"/>
        </w:rPr>
        <w:t>2014.12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38(06)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ascii="仿宋" w:hAnsi="仿宋" w:eastAsia="仿宋" w:cs="仿宋"/>
          <w:szCs w:val="21"/>
        </w:rPr>
        <w:t xml:space="preserve">P548-552.   </w:t>
      </w:r>
      <w:r>
        <w:rPr>
          <w:rFonts w:hint="eastAsia" w:ascii="仿宋" w:hAnsi="仿宋" w:eastAsia="仿宋" w:cs="仿宋"/>
          <w:szCs w:val="21"/>
        </w:rPr>
        <w:t>（中文核心期刊，</w:t>
      </w:r>
      <w:r>
        <w:rPr>
          <w:rFonts w:ascii="仿宋" w:hAnsi="仿宋" w:eastAsia="仿宋" w:cs="仿宋"/>
          <w:szCs w:val="21"/>
        </w:rPr>
        <w:t>cscd</w:t>
      </w:r>
      <w:r>
        <w:rPr>
          <w:rFonts w:hint="eastAsia" w:ascii="仿宋" w:hAnsi="仿宋" w:eastAsia="仿宋" w:cs="仿宋"/>
          <w:szCs w:val="21"/>
        </w:rPr>
        <w:t>）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(7)</w:t>
      </w:r>
      <w:r>
        <w:rPr>
          <w:rFonts w:hint="eastAsia" w:ascii="仿宋" w:hAnsi="仿宋" w:eastAsia="仿宋" w:cs="仿宋"/>
          <w:szCs w:val="21"/>
        </w:rPr>
        <w:t>王惠宾，贾益纲，熊祖强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洪州宝塔结构转换节点的</w:t>
      </w:r>
      <w:r>
        <w:rPr>
          <w:rFonts w:ascii="仿宋" w:hAnsi="仿宋" w:eastAsia="仿宋" w:cs="仿宋"/>
          <w:szCs w:val="21"/>
        </w:rPr>
        <w:t>ANSYS</w:t>
      </w:r>
      <w:r>
        <w:rPr>
          <w:rFonts w:hint="eastAsia" w:ascii="仿宋" w:hAnsi="仿宋" w:eastAsia="仿宋" w:cs="仿宋"/>
          <w:szCs w:val="21"/>
        </w:rPr>
        <w:t>分析</w:t>
      </w:r>
      <w:r>
        <w:rPr>
          <w:rFonts w:ascii="仿宋" w:hAnsi="仿宋" w:eastAsia="仿宋" w:cs="仿宋"/>
          <w:szCs w:val="21"/>
        </w:rPr>
        <w:t>[J].</w:t>
      </w:r>
      <w:r>
        <w:rPr>
          <w:rFonts w:hint="eastAsia" w:ascii="仿宋" w:hAnsi="仿宋" w:eastAsia="仿宋" w:cs="仿宋"/>
          <w:szCs w:val="21"/>
        </w:rPr>
        <w:t>四川建筑科学研究，</w:t>
      </w:r>
      <w:r>
        <w:rPr>
          <w:rFonts w:ascii="仿宋" w:hAnsi="仿宋" w:eastAsia="仿宋" w:cs="仿宋"/>
          <w:szCs w:val="21"/>
        </w:rPr>
        <w:t>2008.06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(03)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ascii="仿宋" w:hAnsi="仿宋" w:eastAsia="仿宋" w:cs="仿宋"/>
          <w:szCs w:val="21"/>
        </w:rPr>
        <w:t xml:space="preserve">P50-52.   </w:t>
      </w:r>
      <w:r>
        <w:rPr>
          <w:rFonts w:hint="eastAsia" w:ascii="仿宋" w:hAnsi="仿宋" w:eastAsia="仿宋" w:cs="仿宋"/>
          <w:szCs w:val="21"/>
        </w:rPr>
        <w:t>（中文核心期刊，</w:t>
      </w:r>
      <w:r>
        <w:rPr>
          <w:rFonts w:ascii="仿宋" w:hAnsi="仿宋" w:eastAsia="仿宋" w:cs="仿宋"/>
          <w:szCs w:val="21"/>
        </w:rPr>
        <w:t>cscd</w:t>
      </w:r>
      <w:r>
        <w:rPr>
          <w:rFonts w:hint="eastAsia" w:ascii="仿宋" w:hAnsi="仿宋" w:eastAsia="仿宋" w:cs="仿宋"/>
          <w:szCs w:val="21"/>
        </w:rPr>
        <w:t>）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(8)</w:t>
      </w:r>
      <w:r>
        <w:rPr>
          <w:rFonts w:hint="eastAsia" w:ascii="仿宋" w:hAnsi="仿宋" w:eastAsia="仿宋" w:cs="仿宋"/>
          <w:szCs w:val="21"/>
        </w:rPr>
        <w:t>贾益纲</w:t>
      </w:r>
      <w:r>
        <w:rPr>
          <w:rFonts w:ascii="仿宋" w:hAnsi="仿宋" w:eastAsia="仿宋" w:cs="仿宋"/>
          <w:szCs w:val="21"/>
        </w:rPr>
        <w:t>;</w:t>
      </w:r>
      <w:r>
        <w:rPr>
          <w:rFonts w:hint="eastAsia" w:ascii="仿宋" w:hAnsi="仿宋" w:eastAsia="仿宋" w:cs="仿宋"/>
          <w:szCs w:val="21"/>
        </w:rPr>
        <w:t>毛云雪</w:t>
      </w:r>
      <w:r>
        <w:rPr>
          <w:rFonts w:ascii="仿宋" w:hAnsi="仿宋" w:eastAsia="仿宋" w:cs="仿宋"/>
          <w:szCs w:val="21"/>
        </w:rPr>
        <w:t>;</w:t>
      </w:r>
      <w:r>
        <w:rPr>
          <w:rFonts w:hint="eastAsia" w:ascii="仿宋" w:hAnsi="仿宋" w:eastAsia="仿宋" w:cs="仿宋"/>
          <w:szCs w:val="21"/>
        </w:rPr>
        <w:t>吴光宇</w:t>
      </w:r>
      <w:r>
        <w:rPr>
          <w:rFonts w:ascii="仿宋" w:hAnsi="仿宋" w:eastAsia="仿宋" w:cs="仿宋"/>
          <w:szCs w:val="21"/>
        </w:rPr>
        <w:t>;</w:t>
      </w:r>
      <w:r>
        <w:rPr>
          <w:rFonts w:hint="eastAsia" w:ascii="仿宋" w:hAnsi="仿宋" w:eastAsia="仿宋" w:cs="仿宋"/>
          <w:szCs w:val="21"/>
        </w:rPr>
        <w:t>刘鹏程</w:t>
      </w:r>
      <w:r>
        <w:rPr>
          <w:rFonts w:ascii="仿宋" w:hAnsi="仿宋" w:eastAsia="仿宋" w:cs="仿宋"/>
          <w:szCs w:val="21"/>
        </w:rPr>
        <w:t>;</w:t>
      </w:r>
      <w:r>
        <w:rPr>
          <w:rFonts w:hint="eastAsia" w:ascii="仿宋" w:hAnsi="仿宋" w:eastAsia="仿宋" w:cs="仿宋"/>
          <w:szCs w:val="21"/>
        </w:rPr>
        <w:t>王惠宾</w:t>
      </w:r>
      <w:r>
        <w:rPr>
          <w:rFonts w:ascii="仿宋" w:hAnsi="仿宋" w:eastAsia="仿宋" w:cs="仿宋"/>
          <w:szCs w:val="21"/>
        </w:rPr>
        <w:t>;RC</w:t>
      </w:r>
      <w:r>
        <w:rPr>
          <w:rFonts w:hint="eastAsia" w:ascii="仿宋" w:hAnsi="仿宋" w:eastAsia="仿宋" w:cs="仿宋"/>
          <w:szCs w:val="21"/>
        </w:rPr>
        <w:t>框架梁板柱空间协同抗倒塌机制非线性仿真分析</w:t>
      </w:r>
      <w:r>
        <w:rPr>
          <w:rFonts w:ascii="仿宋" w:hAnsi="仿宋" w:eastAsia="仿宋" w:cs="仿宋"/>
          <w:szCs w:val="21"/>
        </w:rPr>
        <w:t xml:space="preserve">, </w:t>
      </w:r>
      <w:r>
        <w:rPr>
          <w:rFonts w:hint="eastAsia" w:ascii="仿宋" w:hAnsi="仿宋" w:eastAsia="仿宋" w:cs="仿宋"/>
          <w:szCs w:val="21"/>
        </w:rPr>
        <w:t>建筑结构</w:t>
      </w:r>
      <w:r>
        <w:rPr>
          <w:rFonts w:ascii="仿宋" w:hAnsi="仿宋" w:eastAsia="仿宋" w:cs="仿宋"/>
          <w:szCs w:val="21"/>
        </w:rPr>
        <w:t xml:space="preserve">, 2020, 50(17): 70-77  </w:t>
      </w:r>
      <w:r>
        <w:rPr>
          <w:rFonts w:hint="eastAsia" w:ascii="仿宋" w:hAnsi="仿宋" w:eastAsia="仿宋" w:cs="仿宋"/>
          <w:szCs w:val="21"/>
        </w:rPr>
        <w:t>（中文核心期刊，</w:t>
      </w:r>
      <w:r>
        <w:rPr>
          <w:rFonts w:ascii="仿宋" w:hAnsi="仿宋" w:eastAsia="仿宋" w:cs="仿宋"/>
          <w:szCs w:val="21"/>
        </w:rPr>
        <w:t>cscd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ascii="仿宋" w:hAnsi="仿宋" w:eastAsia="仿宋" w:cs="仿宋"/>
          <w:szCs w:val="21"/>
        </w:rPr>
        <w:t xml:space="preserve">    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 xml:space="preserve">(9)Yigang Jia; Liangjian Lu; Guangyu Wu; Bo Zhang; Huibin Wang; Temperature Stress Analysis of Super-Long Frame Structures Accounting for Differences in the Linear Expansion Coefficients of Steel and Concrete, processes, 2021, 1519(9): 1-13  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ascii="仿宋" w:hAnsi="仿宋" w:eastAsia="仿宋" w:cs="仿宋"/>
          <w:szCs w:val="21"/>
        </w:rPr>
        <w:t>SCI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ascii="仿宋" w:hAnsi="仿宋" w:eastAsia="仿宋" w:cs="仿宋"/>
          <w:szCs w:val="21"/>
        </w:rPr>
        <w:t xml:space="preserve">      </w:t>
      </w:r>
    </w:p>
    <w:p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(10)</w:t>
      </w:r>
      <w:r>
        <w:rPr>
          <w:rFonts w:hint="eastAsia" w:ascii="仿宋" w:hAnsi="仿宋" w:eastAsia="仿宋" w:cs="仿宋"/>
          <w:szCs w:val="21"/>
        </w:rPr>
        <w:t>贾益纲，詹鸣晨，吴光宇，敖居明，王惠宾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考虑现浇楼板影响的</w:t>
      </w:r>
      <w:r>
        <w:rPr>
          <w:rFonts w:ascii="仿宋" w:hAnsi="仿宋" w:eastAsia="仿宋" w:cs="仿宋"/>
          <w:szCs w:val="21"/>
        </w:rPr>
        <w:t>RC</w:t>
      </w:r>
      <w:r>
        <w:rPr>
          <w:rFonts w:hint="eastAsia" w:ascii="仿宋" w:hAnsi="仿宋" w:eastAsia="仿宋" w:cs="仿宋"/>
          <w:szCs w:val="21"/>
        </w:rPr>
        <w:t>框架梁板柱协同抗连续性倒塌非线性有限元分析</w:t>
      </w:r>
      <w:r>
        <w:rPr>
          <w:rFonts w:ascii="仿宋" w:hAnsi="仿宋" w:eastAsia="仿宋" w:cs="仿宋"/>
          <w:szCs w:val="21"/>
        </w:rPr>
        <w:t>[J].</w:t>
      </w:r>
      <w:r>
        <w:rPr>
          <w:rFonts w:hint="eastAsia" w:ascii="仿宋" w:hAnsi="仿宋" w:eastAsia="仿宋" w:cs="仿宋"/>
          <w:szCs w:val="21"/>
        </w:rPr>
        <w:t>建筑结构，</w:t>
      </w:r>
      <w:r>
        <w:rPr>
          <w:rFonts w:ascii="仿宋" w:hAnsi="仿宋" w:eastAsia="仿宋" w:cs="仿宋"/>
          <w:szCs w:val="21"/>
        </w:rPr>
        <w:t>2022.03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52(6)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ascii="仿宋" w:hAnsi="仿宋" w:eastAsia="仿宋" w:cs="仿宋"/>
          <w:szCs w:val="21"/>
        </w:rPr>
        <w:t>P61-68.</w:t>
      </w:r>
      <w:r>
        <w:rPr>
          <w:rFonts w:hint="eastAsia" w:ascii="仿宋" w:hAnsi="仿宋" w:eastAsia="仿宋" w:cs="仿宋"/>
          <w:szCs w:val="21"/>
        </w:rPr>
        <w:t>（中文核心期刊，</w:t>
      </w:r>
      <w:r>
        <w:rPr>
          <w:rFonts w:ascii="仿宋" w:hAnsi="仿宋" w:eastAsia="仿宋" w:cs="仿宋"/>
          <w:szCs w:val="21"/>
        </w:rPr>
        <w:t>cscd</w:t>
      </w:r>
      <w:r>
        <w:rPr>
          <w:rFonts w:hint="eastAsia" w:ascii="仿宋" w:hAnsi="仿宋" w:eastAsia="仿宋" w:cs="仿宋"/>
          <w:szCs w:val="21"/>
        </w:rPr>
        <w:t>）</w:t>
      </w:r>
    </w:p>
    <w:p>
      <w:pPr>
        <w:snapToGrid w:val="0"/>
        <w:spacing w:beforeLines="50"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学术兼职</w:t>
      </w:r>
      <w:r>
        <w:rPr>
          <w:rFonts w:ascii="仿宋" w:hAnsi="仿宋" w:eastAsia="仿宋" w:cs="仿宋"/>
          <w:b/>
          <w:bCs/>
          <w:sz w:val="24"/>
          <w:szCs w:val="24"/>
        </w:rPr>
        <w:t>:</w:t>
      </w:r>
    </w:p>
    <w:p>
      <w:pPr>
        <w:snapToGrid w:val="0"/>
        <w:spacing w:line="288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江西省土木建筑学会工程鉴定与加固专业委员会，主任委员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江西省土木建筑学会混凝土与混凝土结构专业委员会，副主任委员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江西省土木建筑学会抗震与防灾专业委员会，副主任委员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江西省超限审查专家</w:t>
      </w:r>
    </w:p>
    <w:p>
      <w:pPr>
        <w:jc w:val="left"/>
      </w:pPr>
      <w:r>
        <w:rPr>
          <w:rFonts w:hint="eastAsia" w:ascii="仿宋" w:hAnsi="仿宋" w:eastAsia="仿宋" w:cs="仿宋"/>
        </w:rPr>
        <w:t>江西省建筑施工安全危大工程技术专家</w:t>
      </w:r>
    </w:p>
    <w:p>
      <w:pPr>
        <w:jc w:val="left"/>
        <w:rPr>
          <w:rFonts w:ascii="仿宋" w:hAnsi="仿宋" w:eastAsia="仿宋" w:cs="仿宋"/>
        </w:rPr>
      </w:pPr>
    </w:p>
    <w:p>
      <w:pPr>
        <w:pStyle w:val="2"/>
        <w:numPr>
          <w:ilvl w:val="3"/>
          <w:numId w:val="0"/>
        </w:num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4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3MGMzMWE1Y2IxMGMxM2M0ZjNhZDYyMTdjZTA3ZDYifQ=="/>
  </w:docVars>
  <w:rsids>
    <w:rsidRoot w:val="00796D71"/>
    <w:rsid w:val="00015E82"/>
    <w:rsid w:val="000369FD"/>
    <w:rsid w:val="00055545"/>
    <w:rsid w:val="0008087D"/>
    <w:rsid w:val="000B0601"/>
    <w:rsid w:val="000C09B2"/>
    <w:rsid w:val="000C234E"/>
    <w:rsid w:val="000C2750"/>
    <w:rsid w:val="000C29E2"/>
    <w:rsid w:val="000C48A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A40C0"/>
    <w:rsid w:val="003E2573"/>
    <w:rsid w:val="0040764E"/>
    <w:rsid w:val="0042573A"/>
    <w:rsid w:val="00426608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55E47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AD006D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0128F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70299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D6356"/>
    <w:rsid w:val="00FF38B6"/>
    <w:rsid w:val="00FF446A"/>
    <w:rsid w:val="015A7D35"/>
    <w:rsid w:val="01FF099F"/>
    <w:rsid w:val="0368705F"/>
    <w:rsid w:val="03C649D4"/>
    <w:rsid w:val="06083A04"/>
    <w:rsid w:val="06B70F10"/>
    <w:rsid w:val="06EB13F0"/>
    <w:rsid w:val="0ADB01AC"/>
    <w:rsid w:val="0B957346"/>
    <w:rsid w:val="122147D6"/>
    <w:rsid w:val="135D5D6E"/>
    <w:rsid w:val="1A004525"/>
    <w:rsid w:val="1B1C5A6D"/>
    <w:rsid w:val="206375BB"/>
    <w:rsid w:val="20777E25"/>
    <w:rsid w:val="208D63E6"/>
    <w:rsid w:val="214747E7"/>
    <w:rsid w:val="27F658FB"/>
    <w:rsid w:val="296D02DD"/>
    <w:rsid w:val="2D8D7A26"/>
    <w:rsid w:val="2DEA4441"/>
    <w:rsid w:val="317A14C2"/>
    <w:rsid w:val="33DC122D"/>
    <w:rsid w:val="37386C54"/>
    <w:rsid w:val="3CA83982"/>
    <w:rsid w:val="498E1D37"/>
    <w:rsid w:val="499500DF"/>
    <w:rsid w:val="51A0391C"/>
    <w:rsid w:val="55006BAB"/>
    <w:rsid w:val="5EE83A41"/>
    <w:rsid w:val="6511270F"/>
    <w:rsid w:val="6AF26820"/>
    <w:rsid w:val="6CC643F5"/>
    <w:rsid w:val="6CF33DC8"/>
    <w:rsid w:val="70481B26"/>
    <w:rsid w:val="73840550"/>
    <w:rsid w:val="7C44306D"/>
    <w:rsid w:val="7DA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3"/>
    <w:qFormat/>
    <w:uiPriority w:val="99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Heading 4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Body Text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ody Text First Indent Char"/>
    <w:basedOn w:val="10"/>
    <w:link w:val="6"/>
    <w:qFormat/>
    <w:locked/>
    <w:uiPriority w:val="99"/>
    <w:rPr>
      <w:rFonts w:ascii="Times New Roman" w:hAnsi="Times New Roman" w:eastAsia="宋体"/>
      <w:sz w:val="24"/>
      <w:szCs w:val="24"/>
    </w:rPr>
  </w:style>
  <w:style w:type="paragraph" w:customStyle="1" w:styleId="14">
    <w:name w:val="details w/bullets 1"/>
    <w:basedOn w:val="1"/>
    <w:qFormat/>
    <w:uiPriority w:val="99"/>
    <w:pPr>
      <w:widowControl/>
      <w:numPr>
        <w:ilvl w:val="0"/>
        <w:numId w:val="2"/>
      </w:numPr>
      <w:jc w:val="left"/>
    </w:pPr>
    <w:rPr>
      <w:rFonts w:ascii="Times New Roman" w:hAnsi="Times New Roman" w:eastAsia="宋体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987</Words>
  <Characters>1514</Characters>
  <Lines>0</Lines>
  <Paragraphs>0</Paragraphs>
  <TotalTime>58</TotalTime>
  <ScaleCrop>false</ScaleCrop>
  <LinksUpToDate>false</LinksUpToDate>
  <CharactersWithSpaces>1579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2023-08-25T01:29:00Z</dcterms:created>
  <dc:creator>熊进刚</dc:creator>
  <cp:lastModifiedBy>Wendy</cp:lastModifiedBy>
  <dcterms:modified xsi:type="dcterms:W3CDTF">2023-09-01T09:34:26Z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344D17C67C0F42E7B40C29CEE0980710_13</vt:lpwstr>
  </property>
</Properties>
</file>